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FB8D9B" w14:textId="77777777" w:rsidR="005A4F88" w:rsidRPr="00F37E2E" w:rsidRDefault="005A4F88">
      <w:pPr>
        <w:rPr>
          <w:sz w:val="22"/>
          <w:szCs w:val="22"/>
        </w:rPr>
      </w:pPr>
      <w:bookmarkStart w:id="0" w:name="_GoBack"/>
      <w:bookmarkEnd w:id="0"/>
    </w:p>
    <w:p w14:paraId="5E744DF8" w14:textId="77777777" w:rsidR="005A4F88" w:rsidRPr="00F37E2E" w:rsidRDefault="005A4F88">
      <w:pPr>
        <w:jc w:val="center"/>
        <w:rPr>
          <w:b/>
          <w:sz w:val="22"/>
          <w:szCs w:val="22"/>
        </w:rPr>
      </w:pPr>
    </w:p>
    <w:p w14:paraId="2EE01B0E" w14:textId="77777777" w:rsidR="005A4F88" w:rsidRPr="00F37E2E" w:rsidRDefault="00280440" w:rsidP="00721D16">
      <w:pPr>
        <w:spacing w:line="276" w:lineRule="auto"/>
        <w:jc w:val="center"/>
        <w:rPr>
          <w:b/>
          <w:sz w:val="22"/>
          <w:szCs w:val="22"/>
        </w:rPr>
      </w:pPr>
      <w:r w:rsidRPr="00F37E2E">
        <w:rPr>
          <w:b/>
          <w:sz w:val="22"/>
          <w:szCs w:val="22"/>
        </w:rPr>
        <w:t>PONE</w:t>
      </w:r>
      <w:r w:rsidR="009E539F">
        <w:rPr>
          <w:b/>
          <w:sz w:val="22"/>
          <w:szCs w:val="22"/>
        </w:rPr>
        <w:t xml:space="preserve">NCIA PROYECTO DE ACUERDO No. </w:t>
      </w:r>
      <w:r w:rsidR="00E9269B">
        <w:rPr>
          <w:b/>
          <w:sz w:val="22"/>
          <w:szCs w:val="22"/>
        </w:rPr>
        <w:t>097 DE 2025</w:t>
      </w:r>
    </w:p>
    <w:p w14:paraId="667ABA81" w14:textId="77777777" w:rsidR="005A4F88" w:rsidRPr="00F37E2E" w:rsidRDefault="005A4F88" w:rsidP="00721D16">
      <w:pPr>
        <w:spacing w:line="276" w:lineRule="auto"/>
        <w:jc w:val="center"/>
        <w:rPr>
          <w:sz w:val="22"/>
          <w:szCs w:val="22"/>
        </w:rPr>
      </w:pPr>
    </w:p>
    <w:p w14:paraId="0D51DF94" w14:textId="77777777" w:rsidR="005A4F88" w:rsidRPr="00F37E2E" w:rsidRDefault="005A4F88" w:rsidP="00721D16">
      <w:pPr>
        <w:spacing w:line="276" w:lineRule="auto"/>
        <w:jc w:val="center"/>
        <w:rPr>
          <w:sz w:val="22"/>
          <w:szCs w:val="22"/>
        </w:rPr>
      </w:pPr>
    </w:p>
    <w:p w14:paraId="18FAD5C8" w14:textId="77777777" w:rsidR="005A4F88" w:rsidRPr="00F37E2E" w:rsidRDefault="00E9269B" w:rsidP="00721D16">
      <w:pPr>
        <w:spacing w:line="276" w:lineRule="auto"/>
        <w:jc w:val="center"/>
        <w:rPr>
          <w:sz w:val="22"/>
          <w:szCs w:val="22"/>
        </w:rPr>
      </w:pPr>
      <w:r w:rsidRPr="00E9269B">
        <w:rPr>
          <w:sz w:val="22"/>
          <w:szCs w:val="22"/>
        </w:rPr>
        <w:t>“POR EL CUAL SE ESTABLECE SEÑALIZACIÓN CLARA EN LOS PERÍMETROS Y ZONAS EN LOS QUE NO ESTÁ PERMITIDO EL CONSUMO DE DROGAS EN EL ESPACIO PÚBLICO”</w:t>
      </w:r>
    </w:p>
    <w:p w14:paraId="69E82927" w14:textId="77777777" w:rsidR="005A4F88" w:rsidRPr="00F37E2E" w:rsidRDefault="00280440" w:rsidP="00721D16">
      <w:pPr>
        <w:numPr>
          <w:ilvl w:val="0"/>
          <w:numId w:val="1"/>
        </w:numPr>
        <w:pBdr>
          <w:top w:val="nil"/>
          <w:left w:val="nil"/>
          <w:bottom w:val="nil"/>
          <w:right w:val="nil"/>
          <w:between w:val="nil"/>
        </w:pBdr>
        <w:spacing w:line="276" w:lineRule="auto"/>
        <w:rPr>
          <w:sz w:val="22"/>
          <w:szCs w:val="22"/>
        </w:rPr>
      </w:pPr>
      <w:r w:rsidRPr="00F37E2E">
        <w:rPr>
          <w:b/>
          <w:sz w:val="22"/>
          <w:szCs w:val="22"/>
          <w:u w:val="single"/>
        </w:rPr>
        <w:t>OBJETO</w:t>
      </w:r>
    </w:p>
    <w:p w14:paraId="0A7FB2A9" w14:textId="77777777" w:rsidR="005A4F88" w:rsidRPr="00F37E2E" w:rsidRDefault="005A4F88" w:rsidP="00721D16">
      <w:pPr>
        <w:spacing w:line="276" w:lineRule="auto"/>
        <w:rPr>
          <w:b/>
          <w:sz w:val="22"/>
          <w:szCs w:val="22"/>
        </w:rPr>
      </w:pPr>
    </w:p>
    <w:p w14:paraId="5FF5A9AD" w14:textId="77777777" w:rsidR="005A4F88" w:rsidRPr="00F37E2E" w:rsidRDefault="00E9269B" w:rsidP="00721D16">
      <w:pPr>
        <w:spacing w:line="276" w:lineRule="auto"/>
        <w:jc w:val="both"/>
        <w:rPr>
          <w:sz w:val="22"/>
          <w:szCs w:val="22"/>
        </w:rPr>
      </w:pPr>
      <w:r>
        <w:rPr>
          <w:sz w:val="22"/>
          <w:szCs w:val="22"/>
        </w:rPr>
        <w:t xml:space="preserve">El presente proyecto tiene por objeto señalizar las áreas donde no </w:t>
      </w:r>
      <w:r w:rsidR="000F6C3E">
        <w:rPr>
          <w:sz w:val="22"/>
          <w:szCs w:val="22"/>
        </w:rPr>
        <w:t>se puede consumir, facilitar, distribuir, ofrecer o comercializar sustancias psicoactivas</w:t>
      </w:r>
      <w:r w:rsidR="00AF06DE">
        <w:rPr>
          <w:sz w:val="22"/>
          <w:szCs w:val="22"/>
        </w:rPr>
        <w:t xml:space="preserve">, conforme a lo establecido en el Decreto Distrital 825 de 2019, con el fin de prevenir afectaciones en los entornos indicados en el decreto. </w:t>
      </w:r>
    </w:p>
    <w:p w14:paraId="6E7B3919" w14:textId="77777777" w:rsidR="005A4F88" w:rsidRPr="00F37E2E" w:rsidRDefault="005A4F88" w:rsidP="00721D16">
      <w:pPr>
        <w:spacing w:line="276" w:lineRule="auto"/>
        <w:rPr>
          <w:sz w:val="22"/>
          <w:szCs w:val="22"/>
        </w:rPr>
      </w:pPr>
      <w:bookmarkStart w:id="1" w:name="_heading=h.gjdgxs" w:colFirst="0" w:colLast="0"/>
      <w:bookmarkEnd w:id="1"/>
    </w:p>
    <w:p w14:paraId="084A5977" w14:textId="77777777" w:rsidR="005A4F88" w:rsidRPr="00F37E2E" w:rsidRDefault="005A4F88" w:rsidP="00721D16">
      <w:pPr>
        <w:spacing w:line="276" w:lineRule="auto"/>
        <w:rPr>
          <w:sz w:val="22"/>
          <w:szCs w:val="22"/>
        </w:rPr>
      </w:pPr>
    </w:p>
    <w:p w14:paraId="2756D491" w14:textId="79E3C595" w:rsidR="005A4F88" w:rsidRPr="00F37E2E" w:rsidRDefault="00280440" w:rsidP="00721D16">
      <w:pPr>
        <w:pStyle w:val="Prrafodelista"/>
        <w:numPr>
          <w:ilvl w:val="0"/>
          <w:numId w:val="1"/>
        </w:numPr>
        <w:pBdr>
          <w:top w:val="nil"/>
          <w:left w:val="nil"/>
          <w:bottom w:val="nil"/>
          <w:right w:val="nil"/>
          <w:between w:val="nil"/>
        </w:pBdr>
        <w:spacing w:line="276" w:lineRule="auto"/>
        <w:rPr>
          <w:sz w:val="22"/>
          <w:szCs w:val="22"/>
        </w:rPr>
      </w:pPr>
      <w:r w:rsidRPr="00F37E2E">
        <w:rPr>
          <w:b/>
          <w:sz w:val="22"/>
          <w:szCs w:val="22"/>
          <w:u w:val="single"/>
        </w:rPr>
        <w:t>JUSTIFICACIÓN DEL PROYECTO Y ANÁLISIS DE LA INICIATIVA</w:t>
      </w:r>
    </w:p>
    <w:p w14:paraId="49258A34" w14:textId="77777777" w:rsidR="005A4F88" w:rsidRPr="00F37E2E" w:rsidRDefault="005A4F88" w:rsidP="00721D16">
      <w:pPr>
        <w:spacing w:line="276" w:lineRule="auto"/>
        <w:rPr>
          <w:sz w:val="22"/>
          <w:szCs w:val="22"/>
        </w:rPr>
      </w:pPr>
    </w:p>
    <w:p w14:paraId="4033CA54" w14:textId="77777777" w:rsidR="005A4F88" w:rsidRDefault="00AF06DE" w:rsidP="00721D16">
      <w:pPr>
        <w:spacing w:line="276" w:lineRule="auto"/>
        <w:jc w:val="both"/>
        <w:rPr>
          <w:sz w:val="22"/>
          <w:szCs w:val="22"/>
        </w:rPr>
      </w:pPr>
      <w:r>
        <w:rPr>
          <w:sz w:val="22"/>
          <w:szCs w:val="22"/>
        </w:rPr>
        <w:t xml:space="preserve">Dentro de la justificación el autor propone que, ante la falta de señalización, se ha propagado el expendio y consumo de sustancias psicoactivas en lugares como los entornos escolares, lo cual influye en el comportamiento de los niños en edad escolar. </w:t>
      </w:r>
    </w:p>
    <w:p w14:paraId="1DE5BF66" w14:textId="77777777" w:rsidR="00AF06DE" w:rsidRDefault="00AF06DE" w:rsidP="00721D16">
      <w:pPr>
        <w:spacing w:line="276" w:lineRule="auto"/>
        <w:jc w:val="both"/>
        <w:rPr>
          <w:sz w:val="22"/>
          <w:szCs w:val="22"/>
        </w:rPr>
      </w:pPr>
    </w:p>
    <w:p w14:paraId="258C4F02" w14:textId="77777777" w:rsidR="00721D16" w:rsidRDefault="00AF06DE" w:rsidP="00721D16">
      <w:pPr>
        <w:spacing w:line="276" w:lineRule="auto"/>
        <w:jc w:val="both"/>
        <w:rPr>
          <w:sz w:val="22"/>
          <w:szCs w:val="22"/>
        </w:rPr>
      </w:pPr>
      <w:r>
        <w:rPr>
          <w:sz w:val="22"/>
          <w:szCs w:val="22"/>
        </w:rPr>
        <w:t xml:space="preserve">La Oficina </w:t>
      </w:r>
      <w:r w:rsidR="00C91069">
        <w:rPr>
          <w:sz w:val="22"/>
          <w:szCs w:val="22"/>
        </w:rPr>
        <w:t>C</w:t>
      </w:r>
      <w:r>
        <w:rPr>
          <w:sz w:val="22"/>
          <w:szCs w:val="22"/>
        </w:rPr>
        <w:t>ontra</w:t>
      </w:r>
      <w:r w:rsidR="00C91069">
        <w:rPr>
          <w:sz w:val="22"/>
          <w:szCs w:val="22"/>
        </w:rPr>
        <w:t xml:space="preserve"> la Droga y el Delito de la Organización de Naciones Unidas ha indicado en relación con los entornos </w:t>
      </w:r>
      <w:r w:rsidR="006251FB">
        <w:rPr>
          <w:sz w:val="22"/>
          <w:szCs w:val="22"/>
        </w:rPr>
        <w:t>escolares que</w:t>
      </w:r>
      <w:r w:rsidR="00721D16">
        <w:rPr>
          <w:sz w:val="22"/>
          <w:szCs w:val="22"/>
        </w:rPr>
        <w:t>:</w:t>
      </w:r>
    </w:p>
    <w:p w14:paraId="46C40FA8" w14:textId="77777777" w:rsidR="00721D16" w:rsidRDefault="00721D16" w:rsidP="00721D16">
      <w:pPr>
        <w:spacing w:line="276" w:lineRule="auto"/>
        <w:jc w:val="both"/>
        <w:rPr>
          <w:sz w:val="22"/>
          <w:szCs w:val="22"/>
        </w:rPr>
      </w:pPr>
    </w:p>
    <w:p w14:paraId="618F07F5" w14:textId="77777777" w:rsidR="00721D16" w:rsidRPr="00721D16" w:rsidRDefault="006251FB" w:rsidP="00721D16">
      <w:pPr>
        <w:spacing w:line="276" w:lineRule="auto"/>
        <w:jc w:val="both"/>
        <w:rPr>
          <w:i/>
          <w:iCs/>
          <w:sz w:val="22"/>
          <w:szCs w:val="22"/>
        </w:rPr>
      </w:pPr>
      <w:r>
        <w:rPr>
          <w:sz w:val="22"/>
          <w:szCs w:val="22"/>
        </w:rPr>
        <w:t>“</w:t>
      </w:r>
      <w:r w:rsidRPr="00721D16">
        <w:rPr>
          <w:i/>
          <w:iCs/>
          <w:sz w:val="22"/>
          <w:szCs w:val="22"/>
        </w:rPr>
        <w:t>El entorno escolar y el de las clases constituyen importantes elementos variables que influyen en la eficacia de la educación para la prevención del uso indebido de drogas. Los estudiantes interactúan en el contexto de las clases, cada una de las cuales posee su propio entorno normativo, que fomenta o desalienta determinados comportamientos. Las salas de clase existen dentro del entorno escolar y forman parte de él, y proporcionan el entorno más amplio para todas las actividades de una</w:t>
      </w:r>
      <w:r w:rsidR="00721D16" w:rsidRPr="00721D16">
        <w:rPr>
          <w:i/>
          <w:iCs/>
          <w:sz w:val="22"/>
          <w:szCs w:val="22"/>
        </w:rPr>
        <w:t xml:space="preserve"> </w:t>
      </w:r>
      <w:r w:rsidRPr="00721D16">
        <w:rPr>
          <w:i/>
          <w:iCs/>
          <w:sz w:val="22"/>
          <w:szCs w:val="22"/>
        </w:rPr>
        <w:t>escuela.</w:t>
      </w:r>
    </w:p>
    <w:p w14:paraId="6B60E136" w14:textId="77777777" w:rsidR="00721D16" w:rsidRPr="00721D16" w:rsidRDefault="00721D16" w:rsidP="00721D16">
      <w:pPr>
        <w:spacing w:line="276" w:lineRule="auto"/>
        <w:jc w:val="both"/>
        <w:rPr>
          <w:i/>
          <w:iCs/>
          <w:sz w:val="22"/>
          <w:szCs w:val="22"/>
        </w:rPr>
      </w:pPr>
    </w:p>
    <w:p w14:paraId="42E6E214" w14:textId="4A7314E2" w:rsidR="00721D16" w:rsidRPr="00721D16" w:rsidRDefault="006251FB" w:rsidP="00721D16">
      <w:pPr>
        <w:spacing w:line="276" w:lineRule="auto"/>
        <w:jc w:val="both"/>
        <w:rPr>
          <w:i/>
          <w:iCs/>
          <w:sz w:val="22"/>
          <w:szCs w:val="22"/>
        </w:rPr>
      </w:pPr>
      <w:r w:rsidRPr="00721D16">
        <w:rPr>
          <w:i/>
          <w:iCs/>
          <w:sz w:val="22"/>
          <w:szCs w:val="22"/>
        </w:rPr>
        <w:t>Las escuelas, como instituciones para personas que se hallan en sus años formativos, brindan un entorno estratégico para promover los</w:t>
      </w:r>
      <w:r w:rsidR="00721D16" w:rsidRPr="00721D16">
        <w:rPr>
          <w:i/>
          <w:iCs/>
          <w:sz w:val="22"/>
          <w:szCs w:val="22"/>
        </w:rPr>
        <w:t xml:space="preserve"> </w:t>
      </w:r>
      <w:r w:rsidRPr="00721D16">
        <w:rPr>
          <w:i/>
          <w:iCs/>
          <w:sz w:val="22"/>
          <w:szCs w:val="22"/>
        </w:rPr>
        <w:t>vínculos comunitarios y las prácticas, normas, y aptitudes que estimulan</w:t>
      </w:r>
      <w:r w:rsidR="00721D16" w:rsidRPr="00721D16">
        <w:rPr>
          <w:i/>
          <w:iCs/>
          <w:sz w:val="22"/>
          <w:szCs w:val="22"/>
        </w:rPr>
        <w:t xml:space="preserve"> </w:t>
      </w:r>
      <w:r w:rsidRPr="00721D16">
        <w:rPr>
          <w:i/>
          <w:iCs/>
          <w:sz w:val="22"/>
          <w:szCs w:val="22"/>
        </w:rPr>
        <w:t>la salud. Algunas de las características de las escuelas que se relacionan</w:t>
      </w:r>
      <w:r w:rsidR="00721D16" w:rsidRPr="00721D16">
        <w:rPr>
          <w:i/>
          <w:iCs/>
          <w:sz w:val="22"/>
          <w:szCs w:val="22"/>
        </w:rPr>
        <w:t xml:space="preserve"> </w:t>
      </w:r>
      <w:r w:rsidRPr="00721D16">
        <w:rPr>
          <w:i/>
          <w:iCs/>
          <w:sz w:val="22"/>
          <w:szCs w:val="22"/>
        </w:rPr>
        <w:t>con el éxito en las campañas de cambio incluyen la calidad de dirección, la moral de los profesores, su maestría, el entorno escolar y sus</w:t>
      </w:r>
      <w:r w:rsidR="00721D16" w:rsidRPr="00721D16">
        <w:rPr>
          <w:i/>
          <w:iCs/>
          <w:sz w:val="22"/>
          <w:szCs w:val="22"/>
        </w:rPr>
        <w:t xml:space="preserve"> </w:t>
      </w:r>
      <w:r w:rsidRPr="00721D16">
        <w:rPr>
          <w:i/>
          <w:iCs/>
          <w:sz w:val="22"/>
          <w:szCs w:val="22"/>
        </w:rPr>
        <w:t>recursos.</w:t>
      </w:r>
    </w:p>
    <w:p w14:paraId="65C811DB" w14:textId="77777777" w:rsidR="00721D16" w:rsidRPr="00721D16" w:rsidRDefault="00721D16" w:rsidP="00721D16">
      <w:pPr>
        <w:spacing w:line="276" w:lineRule="auto"/>
        <w:jc w:val="both"/>
        <w:rPr>
          <w:i/>
          <w:iCs/>
          <w:sz w:val="22"/>
          <w:szCs w:val="22"/>
        </w:rPr>
      </w:pPr>
    </w:p>
    <w:p w14:paraId="11EC7F74" w14:textId="22A1D238" w:rsidR="00AF06DE" w:rsidRPr="00F37E2E" w:rsidRDefault="00721D16" w:rsidP="00721D16">
      <w:pPr>
        <w:spacing w:line="276" w:lineRule="auto"/>
        <w:jc w:val="both"/>
        <w:rPr>
          <w:sz w:val="22"/>
          <w:szCs w:val="22"/>
        </w:rPr>
      </w:pPr>
      <w:r w:rsidRPr="00721D16">
        <w:rPr>
          <w:i/>
          <w:iCs/>
          <w:sz w:val="22"/>
          <w:szCs w:val="22"/>
        </w:rPr>
        <w:lastRenderedPageBreak/>
        <w:t>El entorno escolar puede influir directamente en la salud y bienestar emotivos, así como en los resultados académicos. El sentimiento de pertenecer a una familia y a una escuela es un importante factor de protección contra los comportamientos de los jóvenes que ponen en peligro su salud</w:t>
      </w:r>
      <w:r w:rsidRPr="00721D16">
        <w:rPr>
          <w:sz w:val="22"/>
          <w:szCs w:val="22"/>
        </w:rPr>
        <w:t>.</w:t>
      </w:r>
      <w:r>
        <w:rPr>
          <w:sz w:val="22"/>
          <w:szCs w:val="22"/>
        </w:rPr>
        <w:t>”</w:t>
      </w:r>
    </w:p>
    <w:p w14:paraId="38E23EFC" w14:textId="77777777" w:rsidR="005A4F88" w:rsidRDefault="005A4F88" w:rsidP="00721D16">
      <w:pPr>
        <w:spacing w:line="276" w:lineRule="auto"/>
        <w:rPr>
          <w:sz w:val="22"/>
          <w:szCs w:val="22"/>
        </w:rPr>
      </w:pPr>
    </w:p>
    <w:p w14:paraId="41B9CF7B" w14:textId="6F7D58B3" w:rsidR="002F083D" w:rsidRDefault="002F083D" w:rsidP="00721D16">
      <w:pPr>
        <w:spacing w:line="276" w:lineRule="auto"/>
        <w:rPr>
          <w:sz w:val="22"/>
          <w:szCs w:val="22"/>
        </w:rPr>
      </w:pPr>
      <w:r>
        <w:rPr>
          <w:sz w:val="22"/>
          <w:szCs w:val="22"/>
        </w:rPr>
        <w:t xml:space="preserve">Este hecho resulta muy importante en la medida en que uno de los aspectos que señala el autor de la iniciativa tiene que ver con que los niños, niñas, adolescentes o jóvenes en edad escolar tienen que presenciar a menudo la venta y consumo de estupefacientes en sus entornos inmediatos, lo cual además de aumentar el riesgo de inseguridad, normaliza el consumo, influyendo esto en la vida cotidiana de ellos mismos. </w:t>
      </w:r>
    </w:p>
    <w:p w14:paraId="02D73D5E" w14:textId="77777777" w:rsidR="002F083D" w:rsidRDefault="002F083D" w:rsidP="00721D16">
      <w:pPr>
        <w:spacing w:line="276" w:lineRule="auto"/>
        <w:rPr>
          <w:sz w:val="22"/>
          <w:szCs w:val="22"/>
        </w:rPr>
      </w:pPr>
    </w:p>
    <w:p w14:paraId="6CE743F9" w14:textId="22547EFB" w:rsidR="002F083D" w:rsidRDefault="002F083D" w:rsidP="00526A70">
      <w:pPr>
        <w:spacing w:line="276" w:lineRule="auto"/>
        <w:jc w:val="both"/>
        <w:rPr>
          <w:sz w:val="22"/>
          <w:szCs w:val="22"/>
        </w:rPr>
      </w:pPr>
      <w:r>
        <w:rPr>
          <w:sz w:val="22"/>
          <w:szCs w:val="22"/>
        </w:rPr>
        <w:t xml:space="preserve">De la misma manera, los entornos asociados a los escenarios deportivos o </w:t>
      </w:r>
      <w:r w:rsidR="00526A70">
        <w:rPr>
          <w:sz w:val="22"/>
          <w:szCs w:val="22"/>
        </w:rPr>
        <w:t>recreativos como</w:t>
      </w:r>
      <w:r>
        <w:rPr>
          <w:sz w:val="22"/>
          <w:szCs w:val="22"/>
        </w:rPr>
        <w:t xml:space="preserve"> coliseos, estadios, centros deportivos, parques de toda escala, así como los espacios públicos multitudinarios como plazas o plazoletas, espacios del Sistema Integrado de Transporte Masivo y las instituciones prestadoras de servicios de salud o protección social, requieren</w:t>
      </w:r>
      <w:r w:rsidR="00526A70">
        <w:rPr>
          <w:sz w:val="22"/>
          <w:szCs w:val="22"/>
        </w:rPr>
        <w:t xml:space="preserve"> que exista un entorno de protección que ya de hecho está contenido en el decreto Distrital 825 de 2019</w:t>
      </w:r>
      <w:r w:rsidR="006905EE">
        <w:rPr>
          <w:sz w:val="22"/>
          <w:szCs w:val="22"/>
        </w:rPr>
        <w:t>.</w:t>
      </w:r>
    </w:p>
    <w:p w14:paraId="4CE934B6" w14:textId="77777777" w:rsidR="006905EE" w:rsidRDefault="006905EE" w:rsidP="00526A70">
      <w:pPr>
        <w:spacing w:line="276" w:lineRule="auto"/>
        <w:jc w:val="both"/>
        <w:rPr>
          <w:sz w:val="22"/>
          <w:szCs w:val="22"/>
        </w:rPr>
      </w:pPr>
    </w:p>
    <w:p w14:paraId="483B7B68" w14:textId="5F18958F" w:rsidR="006905EE" w:rsidRDefault="006905EE" w:rsidP="00526A70">
      <w:pPr>
        <w:spacing w:line="276" w:lineRule="auto"/>
        <w:jc w:val="both"/>
        <w:rPr>
          <w:sz w:val="22"/>
          <w:szCs w:val="22"/>
        </w:rPr>
      </w:pPr>
      <w:r>
        <w:rPr>
          <w:sz w:val="22"/>
          <w:szCs w:val="22"/>
        </w:rPr>
        <w:t xml:space="preserve">Las áreas susceptibles de señalización permiten además la identificación de </w:t>
      </w:r>
      <w:r w:rsidR="00E8600A">
        <w:rPr>
          <w:sz w:val="22"/>
          <w:szCs w:val="22"/>
        </w:rPr>
        <w:t>zonas donde</w:t>
      </w:r>
      <w:r>
        <w:rPr>
          <w:sz w:val="22"/>
          <w:szCs w:val="22"/>
        </w:rPr>
        <w:t xml:space="preserve"> se pueden aplicar las medidas correctivas conforme a lo definido en el Código Nacional de Policía y Convivencia, por lo que se hace necesario disponer lo suficiente para delimitar y hacer visible tal delimitación en todo el territorio de Bogotá.</w:t>
      </w:r>
    </w:p>
    <w:p w14:paraId="095ED3E4" w14:textId="77777777" w:rsidR="006905EE" w:rsidRDefault="006905EE" w:rsidP="00526A70">
      <w:pPr>
        <w:spacing w:line="276" w:lineRule="auto"/>
        <w:jc w:val="both"/>
        <w:rPr>
          <w:sz w:val="22"/>
          <w:szCs w:val="22"/>
        </w:rPr>
      </w:pPr>
    </w:p>
    <w:p w14:paraId="5A972C14" w14:textId="77777777" w:rsidR="005A4F88" w:rsidRPr="00F37E2E" w:rsidRDefault="00D36F17">
      <w:pPr>
        <w:numPr>
          <w:ilvl w:val="0"/>
          <w:numId w:val="1"/>
        </w:numPr>
        <w:rPr>
          <w:sz w:val="22"/>
          <w:szCs w:val="22"/>
        </w:rPr>
      </w:pPr>
      <w:r w:rsidRPr="00F37E2E">
        <w:rPr>
          <w:b/>
          <w:sz w:val="22"/>
          <w:szCs w:val="22"/>
          <w:u w:val="single"/>
        </w:rPr>
        <w:t>MARCO</w:t>
      </w:r>
      <w:r w:rsidR="00280440" w:rsidRPr="00F37E2E">
        <w:rPr>
          <w:b/>
          <w:sz w:val="22"/>
          <w:szCs w:val="22"/>
          <w:u w:val="single"/>
        </w:rPr>
        <w:t xml:space="preserve"> JURÍDICO DE LA INICIATIVA</w:t>
      </w:r>
    </w:p>
    <w:p w14:paraId="7482CFA2" w14:textId="77777777" w:rsidR="005A4F88" w:rsidRPr="00F37E2E" w:rsidRDefault="005A4F88">
      <w:pPr>
        <w:rPr>
          <w:b/>
          <w:sz w:val="22"/>
          <w:szCs w:val="22"/>
          <w:u w:val="single"/>
        </w:rPr>
      </w:pPr>
    </w:p>
    <w:p w14:paraId="596467EC" w14:textId="77777777" w:rsidR="005A4F88" w:rsidRPr="00F37E2E" w:rsidRDefault="005A4F88">
      <w:pPr>
        <w:rPr>
          <w:b/>
          <w:sz w:val="22"/>
          <w:szCs w:val="22"/>
          <w:u w:val="single"/>
        </w:rPr>
      </w:pPr>
    </w:p>
    <w:p w14:paraId="7BF39C20" w14:textId="77777777" w:rsidR="005A4F88" w:rsidRPr="00F37E2E" w:rsidRDefault="00280440">
      <w:pPr>
        <w:numPr>
          <w:ilvl w:val="0"/>
          <w:numId w:val="2"/>
        </w:numPr>
        <w:jc w:val="both"/>
        <w:rPr>
          <w:b/>
          <w:sz w:val="22"/>
          <w:szCs w:val="22"/>
        </w:rPr>
      </w:pPr>
      <w:r w:rsidRPr="00F37E2E">
        <w:rPr>
          <w:b/>
          <w:sz w:val="22"/>
          <w:szCs w:val="22"/>
          <w:u w:val="single"/>
        </w:rPr>
        <w:t>ORDEN CONSTITUCIONAL</w:t>
      </w:r>
    </w:p>
    <w:p w14:paraId="4BB97E32" w14:textId="77777777" w:rsidR="005A4F88" w:rsidRPr="00F37E2E" w:rsidRDefault="005A4F88">
      <w:pPr>
        <w:jc w:val="both"/>
        <w:rPr>
          <w:b/>
          <w:sz w:val="22"/>
          <w:szCs w:val="22"/>
          <w:u w:val="single"/>
        </w:rPr>
      </w:pPr>
    </w:p>
    <w:p w14:paraId="5153E012" w14:textId="263CAB70" w:rsidR="005A4F88" w:rsidRDefault="00006FF1">
      <w:pPr>
        <w:jc w:val="both"/>
        <w:rPr>
          <w:sz w:val="22"/>
          <w:szCs w:val="22"/>
        </w:rPr>
      </w:pPr>
      <w:r w:rsidRPr="00006FF1">
        <w:rPr>
          <w:b/>
          <w:bCs/>
          <w:sz w:val="22"/>
          <w:szCs w:val="22"/>
        </w:rPr>
        <w:t>ARTÍCULO</w:t>
      </w:r>
      <w:bookmarkStart w:id="2" w:name="44"/>
      <w:bookmarkEnd w:id="2"/>
      <w:r w:rsidRPr="00006FF1">
        <w:rPr>
          <w:b/>
          <w:bCs/>
          <w:sz w:val="22"/>
          <w:szCs w:val="22"/>
        </w:rPr>
        <w:t> 44. </w:t>
      </w:r>
      <w:r w:rsidRPr="00006FF1">
        <w:rPr>
          <w:sz w:val="22"/>
          <w:szCs w:val="22"/>
        </w:rPr>
        <w:t>Son derechos fundamentales de los niños: la vida, la integridad física, la salud y la seguridad social, la alimentación equilibrada, su nombre y nacionalidad, tener una familia y no ser separados de ella, el cuidado y amor, la educación y la cultura, la recreación y la libre expresión de su opinión. Serán protegidos contra toda forma de abandono, violencia física o moral, secuestro, venta, abuso sexual, explotación laboral o económica y trabajos riesgosos. Gozarán también de los demás derechos consagrados en la Constitución, en las leyes y en los tratados internacionales ratificados por Colombia.</w:t>
      </w:r>
    </w:p>
    <w:p w14:paraId="58936258" w14:textId="77777777" w:rsidR="00C725E5" w:rsidRPr="00F37E2E" w:rsidRDefault="00C725E5">
      <w:pPr>
        <w:jc w:val="both"/>
        <w:rPr>
          <w:sz w:val="22"/>
          <w:szCs w:val="22"/>
        </w:rPr>
      </w:pPr>
    </w:p>
    <w:p w14:paraId="19C7F49F" w14:textId="77777777" w:rsidR="005A4F88" w:rsidRPr="00F37E2E" w:rsidRDefault="00280440">
      <w:pPr>
        <w:jc w:val="both"/>
        <w:rPr>
          <w:sz w:val="22"/>
          <w:szCs w:val="22"/>
        </w:rPr>
      </w:pPr>
      <w:r w:rsidRPr="00F37E2E">
        <w:rPr>
          <w:b/>
          <w:sz w:val="22"/>
          <w:szCs w:val="22"/>
        </w:rPr>
        <w:t xml:space="preserve">ARTÍCULO 311. </w:t>
      </w:r>
      <w:r w:rsidRPr="00F37E2E">
        <w:rPr>
          <w:sz w:val="22"/>
          <w:szCs w:val="22"/>
        </w:rPr>
        <w:t>Al municipio como entidad fundamental de la división político</w:t>
      </w:r>
      <w:r w:rsidR="00CA347E" w:rsidRPr="00F37E2E">
        <w:rPr>
          <w:sz w:val="22"/>
          <w:szCs w:val="22"/>
        </w:rPr>
        <w:t xml:space="preserve"> </w:t>
      </w:r>
      <w:r w:rsidRPr="00F37E2E">
        <w:rPr>
          <w:sz w:val="22"/>
          <w:szCs w:val="22"/>
        </w:rPr>
        <w:t xml:space="preserve">administrativa del Estado le corresponde prestar los servicios públicos que determine la ley, construir las obras que demande el progreso local, ordenar el desarrollo de su territorio, </w:t>
      </w:r>
      <w:r w:rsidRPr="00F37E2E">
        <w:rPr>
          <w:sz w:val="22"/>
          <w:szCs w:val="22"/>
        </w:rPr>
        <w:lastRenderedPageBreak/>
        <w:t>promover la participación comunitaria, el mejoramiento social y cultural de sus habitantes y cumplir las demás funciones que le asignen la Constitución y las leyes".</w:t>
      </w:r>
    </w:p>
    <w:p w14:paraId="270048B0" w14:textId="77777777" w:rsidR="005A4F88" w:rsidRPr="00F37E2E" w:rsidRDefault="005A4F88">
      <w:pPr>
        <w:jc w:val="both"/>
        <w:rPr>
          <w:sz w:val="22"/>
          <w:szCs w:val="22"/>
        </w:rPr>
      </w:pPr>
    </w:p>
    <w:p w14:paraId="50F14202" w14:textId="77777777" w:rsidR="005A4F88" w:rsidRPr="00F37E2E" w:rsidRDefault="00280440">
      <w:pPr>
        <w:numPr>
          <w:ilvl w:val="0"/>
          <w:numId w:val="8"/>
        </w:numPr>
        <w:jc w:val="both"/>
        <w:rPr>
          <w:b/>
          <w:sz w:val="22"/>
          <w:szCs w:val="22"/>
        </w:rPr>
      </w:pPr>
      <w:r w:rsidRPr="00F37E2E">
        <w:rPr>
          <w:b/>
          <w:sz w:val="22"/>
          <w:szCs w:val="22"/>
          <w:u w:val="single"/>
        </w:rPr>
        <w:t>ORDEN LEGISLATIVO</w:t>
      </w:r>
    </w:p>
    <w:p w14:paraId="527E17CC" w14:textId="77777777" w:rsidR="005A4F88" w:rsidRPr="00F37E2E" w:rsidRDefault="005A4F88">
      <w:pPr>
        <w:jc w:val="both"/>
        <w:rPr>
          <w:sz w:val="22"/>
          <w:szCs w:val="22"/>
        </w:rPr>
      </w:pPr>
    </w:p>
    <w:p w14:paraId="788A0EB6" w14:textId="77777777" w:rsidR="003022F7" w:rsidRDefault="003022F7" w:rsidP="003022F7">
      <w:pPr>
        <w:jc w:val="both"/>
        <w:rPr>
          <w:bCs/>
          <w:sz w:val="22"/>
          <w:szCs w:val="22"/>
        </w:rPr>
      </w:pPr>
    </w:p>
    <w:p w14:paraId="525DD370" w14:textId="58258F34" w:rsidR="00693DE3" w:rsidRPr="00704C1E" w:rsidRDefault="00693DE3" w:rsidP="003022F7">
      <w:pPr>
        <w:jc w:val="both"/>
        <w:rPr>
          <w:bCs/>
          <w:sz w:val="22"/>
          <w:szCs w:val="22"/>
        </w:rPr>
      </w:pPr>
      <w:r w:rsidRPr="00693DE3">
        <w:rPr>
          <w:b/>
          <w:sz w:val="22"/>
          <w:szCs w:val="22"/>
        </w:rPr>
        <w:t xml:space="preserve">LEY 745 DE 2002 </w:t>
      </w:r>
      <w:r w:rsidR="00704C1E" w:rsidRPr="00704C1E">
        <w:rPr>
          <w:bCs/>
          <w:sz w:val="22"/>
          <w:szCs w:val="22"/>
        </w:rPr>
        <w:t>“</w:t>
      </w:r>
      <w:r w:rsidRPr="00704C1E">
        <w:rPr>
          <w:bCs/>
          <w:sz w:val="22"/>
          <w:szCs w:val="22"/>
        </w:rPr>
        <w:t>Por la cual se tipifica como contravención el consumo y porte de dosis personal de estupefacientes o sustancias que produzcan dependencia, con peligro”</w:t>
      </w:r>
    </w:p>
    <w:p w14:paraId="04F54A5F" w14:textId="77777777" w:rsidR="00693DE3" w:rsidRDefault="00693DE3" w:rsidP="003022F7">
      <w:pPr>
        <w:jc w:val="both"/>
        <w:rPr>
          <w:b/>
          <w:sz w:val="22"/>
          <w:szCs w:val="22"/>
        </w:rPr>
      </w:pPr>
    </w:p>
    <w:p w14:paraId="63636529" w14:textId="5C054CBD" w:rsidR="003022F7" w:rsidRDefault="003022F7" w:rsidP="003022F7">
      <w:pPr>
        <w:jc w:val="both"/>
        <w:rPr>
          <w:b/>
          <w:sz w:val="22"/>
          <w:szCs w:val="22"/>
        </w:rPr>
      </w:pPr>
      <w:r w:rsidRPr="00356F47">
        <w:rPr>
          <w:b/>
          <w:sz w:val="22"/>
          <w:szCs w:val="22"/>
        </w:rPr>
        <w:t>LEY 1098 DE 2006</w:t>
      </w:r>
      <w:r>
        <w:rPr>
          <w:b/>
          <w:sz w:val="22"/>
          <w:szCs w:val="22"/>
        </w:rPr>
        <w:t xml:space="preserve"> “</w:t>
      </w:r>
      <w:r w:rsidRPr="00484626">
        <w:rPr>
          <w:bCs/>
          <w:sz w:val="22"/>
          <w:szCs w:val="22"/>
        </w:rPr>
        <w:t>Por la cual se expide el Código de la Infancia y la Adolescencia</w:t>
      </w:r>
      <w:r w:rsidRPr="00484626">
        <w:rPr>
          <w:b/>
          <w:sz w:val="22"/>
          <w:szCs w:val="22"/>
        </w:rPr>
        <w:t>.</w:t>
      </w:r>
      <w:r>
        <w:rPr>
          <w:b/>
          <w:sz w:val="22"/>
          <w:szCs w:val="22"/>
        </w:rPr>
        <w:t>”</w:t>
      </w:r>
    </w:p>
    <w:p w14:paraId="56899E48" w14:textId="77777777" w:rsidR="003022F7" w:rsidRDefault="003022F7">
      <w:pPr>
        <w:jc w:val="both"/>
        <w:rPr>
          <w:b/>
          <w:sz w:val="22"/>
          <w:szCs w:val="22"/>
        </w:rPr>
      </w:pPr>
    </w:p>
    <w:p w14:paraId="55E8076E" w14:textId="0E7C6DB6" w:rsidR="007F61A8" w:rsidRDefault="00280440">
      <w:pPr>
        <w:jc w:val="both"/>
        <w:rPr>
          <w:bCs/>
          <w:sz w:val="22"/>
          <w:szCs w:val="22"/>
        </w:rPr>
      </w:pPr>
      <w:r w:rsidRPr="00F37E2E">
        <w:rPr>
          <w:b/>
          <w:sz w:val="22"/>
          <w:szCs w:val="22"/>
        </w:rPr>
        <w:t xml:space="preserve">LEY </w:t>
      </w:r>
      <w:r w:rsidR="007F61A8">
        <w:rPr>
          <w:b/>
          <w:sz w:val="22"/>
          <w:szCs w:val="22"/>
        </w:rPr>
        <w:t xml:space="preserve">1801 DE 2016. </w:t>
      </w:r>
      <w:r w:rsidR="0065263D" w:rsidRPr="0065263D">
        <w:rPr>
          <w:b/>
          <w:sz w:val="22"/>
          <w:szCs w:val="22"/>
        </w:rPr>
        <w:t>"</w:t>
      </w:r>
      <w:r w:rsidR="0065263D" w:rsidRPr="0065263D">
        <w:rPr>
          <w:bCs/>
          <w:sz w:val="22"/>
          <w:szCs w:val="22"/>
        </w:rPr>
        <w:t>Por la cual se expide el Código Nacional de Seguridad y Convivencia Ciudadana"</w:t>
      </w:r>
    </w:p>
    <w:p w14:paraId="001B6593" w14:textId="77777777" w:rsidR="00F72E73" w:rsidRDefault="00F72E73">
      <w:pPr>
        <w:jc w:val="both"/>
        <w:rPr>
          <w:b/>
          <w:sz w:val="22"/>
          <w:szCs w:val="22"/>
        </w:rPr>
      </w:pPr>
    </w:p>
    <w:p w14:paraId="4061071C" w14:textId="42A647C0" w:rsidR="00F72E73" w:rsidRPr="00F72E73" w:rsidRDefault="00F72E73">
      <w:pPr>
        <w:jc w:val="both"/>
        <w:rPr>
          <w:bCs/>
          <w:sz w:val="22"/>
          <w:szCs w:val="22"/>
        </w:rPr>
      </w:pPr>
      <w:r w:rsidRPr="00F72E73">
        <w:rPr>
          <w:b/>
          <w:sz w:val="22"/>
          <w:szCs w:val="22"/>
        </w:rPr>
        <w:t xml:space="preserve">LEY 2000 DEL 14 DE NOVIEMBRE DE 2019, </w:t>
      </w:r>
      <w:r w:rsidRPr="00F72E73">
        <w:rPr>
          <w:bCs/>
          <w:sz w:val="22"/>
          <w:szCs w:val="22"/>
        </w:rPr>
        <w:t>“Por medio de la cual se modifica el Código Nacional de Policía y Convivencia y el Código de la Infancia y la Adolescencia en materia de consumo, porte y distribución de sustancias psicoactivas en lugares con presencia de menores de edad y se dictan otras disposiciones”</w:t>
      </w:r>
    </w:p>
    <w:p w14:paraId="4A0EBB88" w14:textId="77777777" w:rsidR="007F61A8" w:rsidRDefault="007F61A8">
      <w:pPr>
        <w:jc w:val="both"/>
        <w:rPr>
          <w:b/>
          <w:sz w:val="22"/>
          <w:szCs w:val="22"/>
        </w:rPr>
      </w:pPr>
    </w:p>
    <w:p w14:paraId="40F7E080" w14:textId="77777777" w:rsidR="005A4F88" w:rsidRPr="00F37E2E" w:rsidRDefault="005A4F88">
      <w:pPr>
        <w:jc w:val="both"/>
        <w:rPr>
          <w:sz w:val="22"/>
          <w:szCs w:val="22"/>
        </w:rPr>
      </w:pPr>
    </w:p>
    <w:p w14:paraId="006C68A5" w14:textId="77777777" w:rsidR="005A4F88" w:rsidRPr="00F37E2E" w:rsidRDefault="00280440">
      <w:pPr>
        <w:numPr>
          <w:ilvl w:val="0"/>
          <w:numId w:val="7"/>
        </w:numPr>
        <w:jc w:val="both"/>
        <w:rPr>
          <w:b/>
          <w:sz w:val="22"/>
          <w:szCs w:val="22"/>
        </w:rPr>
      </w:pPr>
      <w:r w:rsidRPr="00F37E2E">
        <w:rPr>
          <w:b/>
          <w:sz w:val="22"/>
          <w:szCs w:val="22"/>
          <w:u w:val="single"/>
        </w:rPr>
        <w:t>ORDEN NORMATIVO</w:t>
      </w:r>
    </w:p>
    <w:p w14:paraId="59F722C2" w14:textId="77777777" w:rsidR="005A4F88" w:rsidRPr="00F37E2E" w:rsidRDefault="005A4F88">
      <w:pPr>
        <w:jc w:val="both"/>
        <w:rPr>
          <w:sz w:val="22"/>
          <w:szCs w:val="22"/>
        </w:rPr>
      </w:pPr>
    </w:p>
    <w:p w14:paraId="20CEED91" w14:textId="3B92DB87" w:rsidR="00E1039B" w:rsidRPr="00E1039B" w:rsidRDefault="00E1039B" w:rsidP="00E1039B">
      <w:pPr>
        <w:jc w:val="both"/>
        <w:rPr>
          <w:b/>
          <w:sz w:val="22"/>
          <w:szCs w:val="22"/>
        </w:rPr>
      </w:pPr>
      <w:r w:rsidRPr="00E1039B">
        <w:rPr>
          <w:b/>
          <w:sz w:val="22"/>
          <w:szCs w:val="22"/>
        </w:rPr>
        <w:t>ACUERDO 376 DE 2009, "</w:t>
      </w:r>
      <w:r w:rsidRPr="00E1039B">
        <w:rPr>
          <w:bCs/>
          <w:sz w:val="22"/>
          <w:szCs w:val="22"/>
        </w:rPr>
        <w:t>Mediante el cual se establecen lineamientos para la Política Pública Distrital para la prevención del consumo de tabaco alcohol y otras sustancias psicoactivas en niños, niñas y adolescentes en Bogotá́, D.C."</w:t>
      </w:r>
    </w:p>
    <w:p w14:paraId="2667E4FA" w14:textId="77777777" w:rsidR="00E1039B" w:rsidRDefault="00E1039B" w:rsidP="00E1039B">
      <w:pPr>
        <w:jc w:val="both"/>
        <w:rPr>
          <w:b/>
          <w:sz w:val="22"/>
          <w:szCs w:val="22"/>
        </w:rPr>
      </w:pPr>
    </w:p>
    <w:p w14:paraId="75A96C76" w14:textId="62B81442" w:rsidR="00E1039B" w:rsidRDefault="00214970" w:rsidP="00E1039B">
      <w:pPr>
        <w:jc w:val="both"/>
        <w:rPr>
          <w:b/>
          <w:sz w:val="22"/>
          <w:szCs w:val="22"/>
        </w:rPr>
      </w:pPr>
      <w:r w:rsidRPr="00E1039B">
        <w:rPr>
          <w:b/>
          <w:sz w:val="22"/>
          <w:szCs w:val="22"/>
        </w:rPr>
        <w:t xml:space="preserve">ACUERDO 536 DE 2013 </w:t>
      </w:r>
      <w:r w:rsidR="00E1039B" w:rsidRPr="00E1039B">
        <w:rPr>
          <w:bCs/>
          <w:sz w:val="22"/>
          <w:szCs w:val="22"/>
        </w:rPr>
        <w:t>“por el cual se dictan disposiciones para la promoción de la salud y prevención del consumo de sustancias psicoactivas -spa- en las entidades del distrito capital.”</w:t>
      </w:r>
      <w:r w:rsidR="00E1039B" w:rsidRPr="00E1039B">
        <w:rPr>
          <w:b/>
          <w:sz w:val="22"/>
          <w:szCs w:val="22"/>
        </w:rPr>
        <w:t xml:space="preserve"> </w:t>
      </w:r>
    </w:p>
    <w:p w14:paraId="2421C444" w14:textId="77777777" w:rsidR="00214970" w:rsidRDefault="00214970" w:rsidP="00E1039B">
      <w:pPr>
        <w:jc w:val="both"/>
        <w:rPr>
          <w:b/>
          <w:sz w:val="22"/>
          <w:szCs w:val="22"/>
        </w:rPr>
      </w:pPr>
    </w:p>
    <w:p w14:paraId="45A5A4F0" w14:textId="0DBA0811" w:rsidR="00214970" w:rsidRDefault="00214970" w:rsidP="00E1039B">
      <w:pPr>
        <w:jc w:val="both"/>
        <w:rPr>
          <w:b/>
          <w:sz w:val="22"/>
          <w:szCs w:val="22"/>
        </w:rPr>
      </w:pPr>
      <w:r>
        <w:rPr>
          <w:b/>
          <w:sz w:val="22"/>
          <w:szCs w:val="22"/>
        </w:rPr>
        <w:t>DECRETO DISTRITAL 825 DE 2019</w:t>
      </w:r>
      <w:r w:rsidR="005D63C0">
        <w:rPr>
          <w:b/>
          <w:sz w:val="22"/>
          <w:szCs w:val="22"/>
        </w:rPr>
        <w:t xml:space="preserve"> “</w:t>
      </w:r>
      <w:r w:rsidR="005D63C0" w:rsidRPr="005D63C0">
        <w:rPr>
          <w:bCs/>
          <w:sz w:val="22"/>
          <w:szCs w:val="22"/>
        </w:rPr>
        <w:t>Por medio del cual se establecen los perímetros y zonas para la restricción del porte, consumo, facilitamiento, distribución, ofrecimiento y comercialización de sustancias psicoactivas, de conformidad con lo previsto en los artículos 2 y 3 de la ley 2000 de 2019, modificatorios parcialmente de los artículos 34 y 140 de la Ley 1801 de 2016, y se dictan otras disposiciones.”</w:t>
      </w:r>
    </w:p>
    <w:p w14:paraId="0DAFC936" w14:textId="77777777" w:rsidR="00214970" w:rsidRDefault="00214970" w:rsidP="00E1039B">
      <w:pPr>
        <w:jc w:val="both"/>
        <w:rPr>
          <w:b/>
          <w:sz w:val="22"/>
          <w:szCs w:val="22"/>
        </w:rPr>
      </w:pPr>
    </w:p>
    <w:p w14:paraId="2E9C1DF2" w14:textId="77777777" w:rsidR="005A4F88" w:rsidRPr="00F37E2E" w:rsidRDefault="005A4F88">
      <w:pPr>
        <w:jc w:val="both"/>
        <w:rPr>
          <w:sz w:val="22"/>
          <w:szCs w:val="22"/>
        </w:rPr>
      </w:pPr>
    </w:p>
    <w:p w14:paraId="36359CB7" w14:textId="77777777" w:rsidR="005A4F88" w:rsidRDefault="005A4F88">
      <w:pPr>
        <w:jc w:val="both"/>
        <w:rPr>
          <w:b/>
          <w:sz w:val="22"/>
          <w:szCs w:val="22"/>
        </w:rPr>
      </w:pPr>
    </w:p>
    <w:p w14:paraId="49C79840" w14:textId="77777777" w:rsidR="00B4133E" w:rsidRDefault="00B4133E">
      <w:pPr>
        <w:jc w:val="both"/>
        <w:rPr>
          <w:b/>
          <w:sz w:val="22"/>
          <w:szCs w:val="22"/>
        </w:rPr>
      </w:pPr>
    </w:p>
    <w:p w14:paraId="774AB044" w14:textId="77777777" w:rsidR="00B4133E" w:rsidRDefault="00B4133E">
      <w:pPr>
        <w:jc w:val="both"/>
        <w:rPr>
          <w:b/>
          <w:sz w:val="22"/>
          <w:szCs w:val="22"/>
        </w:rPr>
      </w:pPr>
    </w:p>
    <w:p w14:paraId="0155F5C6" w14:textId="77777777" w:rsidR="00B4133E" w:rsidRDefault="00B4133E">
      <w:pPr>
        <w:jc w:val="both"/>
        <w:rPr>
          <w:b/>
          <w:sz w:val="22"/>
          <w:szCs w:val="22"/>
        </w:rPr>
      </w:pPr>
    </w:p>
    <w:p w14:paraId="10B72A6F" w14:textId="77777777" w:rsidR="00B4133E" w:rsidRDefault="00B4133E">
      <w:pPr>
        <w:jc w:val="both"/>
        <w:rPr>
          <w:b/>
          <w:sz w:val="22"/>
          <w:szCs w:val="22"/>
        </w:rPr>
      </w:pPr>
    </w:p>
    <w:p w14:paraId="7DDEF52D" w14:textId="77777777" w:rsidR="00B4133E" w:rsidRPr="00F37E2E" w:rsidRDefault="00B4133E">
      <w:pPr>
        <w:jc w:val="both"/>
        <w:rPr>
          <w:b/>
          <w:sz w:val="22"/>
          <w:szCs w:val="22"/>
        </w:rPr>
      </w:pPr>
    </w:p>
    <w:p w14:paraId="41C9DD1D" w14:textId="77777777" w:rsidR="005A4F88" w:rsidRPr="00F37E2E" w:rsidRDefault="00280440">
      <w:pPr>
        <w:numPr>
          <w:ilvl w:val="0"/>
          <w:numId w:val="1"/>
        </w:numPr>
        <w:jc w:val="both"/>
        <w:rPr>
          <w:sz w:val="22"/>
          <w:szCs w:val="22"/>
        </w:rPr>
      </w:pPr>
      <w:r w:rsidRPr="00F37E2E">
        <w:rPr>
          <w:b/>
          <w:sz w:val="22"/>
          <w:szCs w:val="22"/>
          <w:u w:val="single"/>
        </w:rPr>
        <w:t>COMPETENCIA DEL CONCEJO DE BOGOTÁ</w:t>
      </w:r>
    </w:p>
    <w:p w14:paraId="78348A0F" w14:textId="77777777" w:rsidR="005A4F88" w:rsidRPr="00F37E2E" w:rsidRDefault="005A4F88">
      <w:pPr>
        <w:jc w:val="both"/>
        <w:rPr>
          <w:b/>
          <w:sz w:val="22"/>
          <w:szCs w:val="22"/>
          <w:u w:val="single"/>
        </w:rPr>
      </w:pPr>
    </w:p>
    <w:p w14:paraId="50A85DF8" w14:textId="77777777" w:rsidR="005A4F88" w:rsidRPr="00F37E2E" w:rsidRDefault="00280440">
      <w:pPr>
        <w:jc w:val="both"/>
        <w:rPr>
          <w:b/>
          <w:sz w:val="22"/>
          <w:szCs w:val="22"/>
          <w:u w:val="single"/>
        </w:rPr>
      </w:pPr>
      <w:r w:rsidRPr="00F37E2E">
        <w:rPr>
          <w:b/>
          <w:sz w:val="22"/>
          <w:szCs w:val="22"/>
          <w:u w:val="single"/>
        </w:rPr>
        <w:t>DECRETO LEY 1421 de 1993 “Estatuto Orgánico de Bogotá”</w:t>
      </w:r>
    </w:p>
    <w:p w14:paraId="6629CBF5" w14:textId="77777777" w:rsidR="005A4F88" w:rsidRPr="00F37E2E" w:rsidRDefault="005A4F88">
      <w:pPr>
        <w:jc w:val="both"/>
        <w:rPr>
          <w:b/>
          <w:sz w:val="22"/>
          <w:szCs w:val="22"/>
        </w:rPr>
      </w:pPr>
    </w:p>
    <w:p w14:paraId="6C82602D" w14:textId="77777777" w:rsidR="005A4F88" w:rsidRPr="00F37E2E" w:rsidRDefault="00280440">
      <w:pPr>
        <w:jc w:val="both"/>
        <w:rPr>
          <w:sz w:val="22"/>
          <w:szCs w:val="22"/>
        </w:rPr>
      </w:pPr>
      <w:r w:rsidRPr="00F37E2E">
        <w:rPr>
          <w:b/>
          <w:sz w:val="22"/>
          <w:szCs w:val="22"/>
        </w:rPr>
        <w:t xml:space="preserve">Artículo 12. </w:t>
      </w:r>
      <w:r w:rsidRPr="00F37E2E">
        <w:rPr>
          <w:sz w:val="22"/>
          <w:szCs w:val="22"/>
        </w:rPr>
        <w:t>Atribuciones. Corresponde al Concejo Distrital, de conformidad con la Constitución y la ley: (...)</w:t>
      </w:r>
    </w:p>
    <w:p w14:paraId="60B086F2" w14:textId="77777777" w:rsidR="005A4F88" w:rsidRPr="00F37E2E" w:rsidRDefault="005A4F88">
      <w:pPr>
        <w:jc w:val="both"/>
        <w:rPr>
          <w:sz w:val="22"/>
          <w:szCs w:val="22"/>
        </w:rPr>
      </w:pPr>
    </w:p>
    <w:p w14:paraId="6F35E1A1" w14:textId="77777777" w:rsidR="005A4F88" w:rsidRPr="00F37E2E" w:rsidRDefault="00280440">
      <w:pPr>
        <w:numPr>
          <w:ilvl w:val="0"/>
          <w:numId w:val="6"/>
        </w:numPr>
        <w:jc w:val="both"/>
        <w:rPr>
          <w:sz w:val="22"/>
          <w:szCs w:val="22"/>
        </w:rPr>
      </w:pPr>
      <w:r w:rsidRPr="00F37E2E">
        <w:rPr>
          <w:sz w:val="22"/>
          <w:szCs w:val="22"/>
        </w:rPr>
        <w:t>Dictar las normas necesarias para garantizar el adecuado cumplimiento de las funciones y la eficiente prestación de los servicios a cargo del Distrito.</w:t>
      </w:r>
    </w:p>
    <w:p w14:paraId="011DD707" w14:textId="77777777" w:rsidR="005A4F88" w:rsidRDefault="005A4F88">
      <w:pPr>
        <w:ind w:left="1440"/>
        <w:jc w:val="both"/>
        <w:rPr>
          <w:b/>
          <w:sz w:val="22"/>
          <w:szCs w:val="22"/>
        </w:rPr>
      </w:pPr>
    </w:p>
    <w:p w14:paraId="70CECCA1" w14:textId="77777777" w:rsidR="00F37E2E" w:rsidRPr="00F37E2E" w:rsidRDefault="00F37E2E">
      <w:pPr>
        <w:ind w:left="1440"/>
        <w:jc w:val="both"/>
        <w:rPr>
          <w:b/>
          <w:sz w:val="22"/>
          <w:szCs w:val="22"/>
        </w:rPr>
      </w:pPr>
    </w:p>
    <w:p w14:paraId="488D3952" w14:textId="77777777" w:rsidR="005A4F88" w:rsidRPr="00F37E2E" w:rsidRDefault="00280440" w:rsidP="00F37E2E">
      <w:pPr>
        <w:pStyle w:val="Prrafodelista"/>
        <w:numPr>
          <w:ilvl w:val="0"/>
          <w:numId w:val="1"/>
        </w:numPr>
        <w:jc w:val="both"/>
        <w:rPr>
          <w:b/>
          <w:sz w:val="22"/>
          <w:szCs w:val="22"/>
          <w:u w:val="single"/>
        </w:rPr>
      </w:pPr>
      <w:r w:rsidRPr="00F37E2E">
        <w:rPr>
          <w:b/>
          <w:sz w:val="22"/>
          <w:szCs w:val="22"/>
          <w:u w:val="single"/>
        </w:rPr>
        <w:t>IMPACTO FISCAL</w:t>
      </w:r>
    </w:p>
    <w:p w14:paraId="6CDCD554" w14:textId="77777777" w:rsidR="005A4F88" w:rsidRPr="00F37E2E" w:rsidRDefault="005A4F88">
      <w:pPr>
        <w:jc w:val="both"/>
        <w:rPr>
          <w:b/>
          <w:sz w:val="22"/>
          <w:szCs w:val="22"/>
          <w:u w:val="single"/>
        </w:rPr>
      </w:pPr>
    </w:p>
    <w:p w14:paraId="6EF0EFD9" w14:textId="208FC91F" w:rsidR="005A4F88" w:rsidRPr="00F37E2E" w:rsidRDefault="00280440">
      <w:pPr>
        <w:jc w:val="both"/>
        <w:rPr>
          <w:sz w:val="22"/>
          <w:szCs w:val="22"/>
        </w:rPr>
      </w:pPr>
      <w:r w:rsidRPr="00F37E2E">
        <w:rPr>
          <w:sz w:val="22"/>
          <w:szCs w:val="22"/>
        </w:rPr>
        <w:t>El proyecto de acuerdo</w:t>
      </w:r>
      <w:r w:rsidR="002A358F">
        <w:rPr>
          <w:sz w:val="22"/>
          <w:szCs w:val="22"/>
        </w:rPr>
        <w:t xml:space="preserve"> afirma</w:t>
      </w:r>
      <w:r w:rsidRPr="00F37E2E">
        <w:rPr>
          <w:sz w:val="22"/>
          <w:szCs w:val="22"/>
        </w:rPr>
        <w:t xml:space="preserve"> que la iniciativa no genera impacto fiscal al no significar un incremento en el presupuesto del distrito ni la necesidad de generar nuevas fuentes de financiación, y que este será financiado por </w:t>
      </w:r>
      <w:r w:rsidR="002A358F">
        <w:rPr>
          <w:sz w:val="22"/>
          <w:szCs w:val="22"/>
        </w:rPr>
        <w:t>los recursos propios de las entidades competentes conforme a las normas vigentes.</w:t>
      </w:r>
    </w:p>
    <w:p w14:paraId="2C2E4D3F" w14:textId="77777777" w:rsidR="005A4F88" w:rsidRPr="00F37E2E" w:rsidRDefault="005A4F88">
      <w:pPr>
        <w:jc w:val="both"/>
        <w:rPr>
          <w:sz w:val="22"/>
          <w:szCs w:val="22"/>
        </w:rPr>
      </w:pPr>
    </w:p>
    <w:p w14:paraId="075635A5" w14:textId="77777777" w:rsidR="005A4F88" w:rsidRPr="00F37E2E" w:rsidRDefault="005A4F88">
      <w:pPr>
        <w:jc w:val="both"/>
        <w:rPr>
          <w:sz w:val="22"/>
          <w:szCs w:val="22"/>
        </w:rPr>
      </w:pPr>
    </w:p>
    <w:p w14:paraId="1154A08F" w14:textId="77777777" w:rsidR="005A4F88" w:rsidRPr="00F37E2E" w:rsidRDefault="00280440" w:rsidP="00F37E2E">
      <w:pPr>
        <w:pStyle w:val="Prrafodelista"/>
        <w:numPr>
          <w:ilvl w:val="0"/>
          <w:numId w:val="1"/>
        </w:numPr>
        <w:jc w:val="both"/>
        <w:rPr>
          <w:b/>
          <w:sz w:val="22"/>
          <w:szCs w:val="22"/>
          <w:u w:val="single"/>
        </w:rPr>
      </w:pPr>
      <w:r w:rsidRPr="00F37E2E">
        <w:rPr>
          <w:b/>
          <w:sz w:val="22"/>
          <w:szCs w:val="22"/>
          <w:u w:val="single"/>
        </w:rPr>
        <w:t>CONSIDERACIONES DEL PONENTE</w:t>
      </w:r>
    </w:p>
    <w:p w14:paraId="76A04877" w14:textId="77777777" w:rsidR="005A4F88" w:rsidRPr="00F37E2E" w:rsidRDefault="005A4F88">
      <w:pPr>
        <w:jc w:val="both"/>
        <w:rPr>
          <w:b/>
          <w:sz w:val="22"/>
          <w:szCs w:val="22"/>
          <w:u w:val="single"/>
        </w:rPr>
      </w:pPr>
    </w:p>
    <w:p w14:paraId="336CF7BB" w14:textId="6DC31EFF" w:rsidR="005A4F88" w:rsidRDefault="000F4152">
      <w:pPr>
        <w:jc w:val="both"/>
        <w:rPr>
          <w:sz w:val="22"/>
          <w:szCs w:val="22"/>
          <w:highlight w:val="white"/>
        </w:rPr>
      </w:pPr>
      <w:r>
        <w:rPr>
          <w:sz w:val="22"/>
          <w:szCs w:val="22"/>
          <w:highlight w:val="white"/>
        </w:rPr>
        <w:t xml:space="preserve">Entre las finalidades del estado se encuentra la protección de los menores, conforme a las </w:t>
      </w:r>
      <w:r w:rsidR="000C0FC1">
        <w:rPr>
          <w:sz w:val="22"/>
          <w:szCs w:val="22"/>
          <w:highlight w:val="white"/>
        </w:rPr>
        <w:t>d</w:t>
      </w:r>
      <w:r>
        <w:rPr>
          <w:sz w:val="22"/>
          <w:szCs w:val="22"/>
          <w:highlight w:val="white"/>
        </w:rPr>
        <w:t>isposiciones con</w:t>
      </w:r>
      <w:r w:rsidR="000C0FC1">
        <w:rPr>
          <w:sz w:val="22"/>
          <w:szCs w:val="22"/>
          <w:highlight w:val="white"/>
        </w:rPr>
        <w:t>stitucionales</w:t>
      </w:r>
      <w:r w:rsidR="00C123A4">
        <w:rPr>
          <w:sz w:val="22"/>
          <w:szCs w:val="22"/>
          <w:highlight w:val="white"/>
        </w:rPr>
        <w:t xml:space="preserve"> y legales</w:t>
      </w:r>
      <w:r w:rsidR="00CB32FE">
        <w:rPr>
          <w:sz w:val="22"/>
          <w:szCs w:val="22"/>
          <w:highlight w:val="white"/>
        </w:rPr>
        <w:t>, pero hoy los niños y jóvenes están expuestos en todos sus espacios de vida a ver</w:t>
      </w:r>
      <w:r w:rsidR="00516790">
        <w:rPr>
          <w:sz w:val="22"/>
          <w:szCs w:val="22"/>
          <w:highlight w:val="white"/>
        </w:rPr>
        <w:t xml:space="preserve"> el consumo, </w:t>
      </w:r>
      <w:r w:rsidR="00EC5C73">
        <w:rPr>
          <w:sz w:val="22"/>
          <w:szCs w:val="22"/>
          <w:highlight w:val="white"/>
        </w:rPr>
        <w:t>hasta el punto de que</w:t>
      </w:r>
      <w:r w:rsidR="00516790">
        <w:rPr>
          <w:sz w:val="22"/>
          <w:szCs w:val="22"/>
          <w:highlight w:val="white"/>
        </w:rPr>
        <w:t xml:space="preserve"> algunos lo han normalizado</w:t>
      </w:r>
      <w:r w:rsidR="00C123A4">
        <w:rPr>
          <w:sz w:val="22"/>
          <w:szCs w:val="22"/>
          <w:highlight w:val="white"/>
        </w:rPr>
        <w:t xml:space="preserve">. El autor del proyecto, en diversas </w:t>
      </w:r>
      <w:r w:rsidR="004629DC">
        <w:rPr>
          <w:sz w:val="22"/>
          <w:szCs w:val="22"/>
          <w:highlight w:val="white"/>
        </w:rPr>
        <w:t>oportunidades</w:t>
      </w:r>
      <w:r w:rsidR="00C123A4">
        <w:rPr>
          <w:sz w:val="22"/>
          <w:szCs w:val="22"/>
          <w:highlight w:val="white"/>
        </w:rPr>
        <w:t xml:space="preserve"> ha planteado la rivalidad que se encuentra en los entornos escolares, donde los niños tienen que convivir a diario con los expendios de estupefacientes y sus consumidores, que no </w:t>
      </w:r>
      <w:r w:rsidR="004629DC">
        <w:rPr>
          <w:sz w:val="22"/>
          <w:szCs w:val="22"/>
          <w:highlight w:val="white"/>
        </w:rPr>
        <w:t>son sancionados de ninguna manera pese a que una norma estableció sitios prohibidos para todas las actividades relacionadas con la venta, consumo y comercialización de sustancias prohibidas.</w:t>
      </w:r>
    </w:p>
    <w:p w14:paraId="25C453FE" w14:textId="77777777" w:rsidR="001476D3" w:rsidRDefault="001476D3">
      <w:pPr>
        <w:jc w:val="both"/>
        <w:rPr>
          <w:sz w:val="22"/>
          <w:szCs w:val="22"/>
          <w:highlight w:val="white"/>
        </w:rPr>
      </w:pPr>
    </w:p>
    <w:p w14:paraId="0E489346" w14:textId="64618C6C" w:rsidR="001476D3" w:rsidRDefault="001476D3">
      <w:pPr>
        <w:jc w:val="both"/>
        <w:rPr>
          <w:sz w:val="22"/>
          <w:szCs w:val="22"/>
          <w:highlight w:val="white"/>
        </w:rPr>
      </w:pPr>
      <w:r>
        <w:rPr>
          <w:sz w:val="22"/>
          <w:szCs w:val="22"/>
          <w:highlight w:val="white"/>
        </w:rPr>
        <w:t>Algunas compañías de seguridad privada han establecido campañas de prevención frente a lo que sucede especialmente en entornos escolares</w:t>
      </w:r>
      <w:r w:rsidR="00BF74E4">
        <w:rPr>
          <w:sz w:val="22"/>
          <w:szCs w:val="22"/>
          <w:highlight w:val="white"/>
        </w:rPr>
        <w:t>, siendo una de ellas COOPEVIAN que reseñó:</w:t>
      </w:r>
    </w:p>
    <w:p w14:paraId="0D1B791F" w14:textId="77777777" w:rsidR="00BF74E4" w:rsidRDefault="00BF74E4">
      <w:pPr>
        <w:jc w:val="both"/>
        <w:rPr>
          <w:sz w:val="22"/>
          <w:szCs w:val="22"/>
          <w:highlight w:val="white"/>
        </w:rPr>
      </w:pPr>
    </w:p>
    <w:p w14:paraId="3C52D352" w14:textId="1F410381" w:rsidR="00C95A99" w:rsidRPr="00C95A99" w:rsidRDefault="00C95A99" w:rsidP="00C95A99">
      <w:pPr>
        <w:jc w:val="both"/>
        <w:rPr>
          <w:i/>
          <w:iCs/>
          <w:sz w:val="22"/>
          <w:szCs w:val="22"/>
          <w:lang w:val="es-CO"/>
        </w:rPr>
      </w:pPr>
      <w:r>
        <w:rPr>
          <w:sz w:val="22"/>
          <w:szCs w:val="22"/>
          <w:lang w:val="es-CO"/>
        </w:rPr>
        <w:t>“</w:t>
      </w:r>
      <w:r w:rsidRPr="00C95A99">
        <w:rPr>
          <w:i/>
          <w:iCs/>
          <w:sz w:val="22"/>
          <w:szCs w:val="22"/>
          <w:lang w:val="es-CO"/>
        </w:rPr>
        <w:t>El uso y venta de sustancias alucinógenas en entornos escolares es una problemática que preocupa cada vez más a padres, cuidadores y las instituciones educativas. La complejidad de los entornos en los que se desenvuelven los niños, niñas y adolescentes es aprovechada por actores delincuenciales que han encontrado en los menores una forma de difusión y distribución de drogas, lo que agrava la situación y pone en riesgo el bienestar de toda la comunidad educativa.</w:t>
      </w:r>
    </w:p>
    <w:p w14:paraId="5081B712" w14:textId="77777777" w:rsidR="00C95A99" w:rsidRPr="00C95A99" w:rsidRDefault="00C95A99" w:rsidP="00C95A99">
      <w:pPr>
        <w:jc w:val="both"/>
        <w:rPr>
          <w:i/>
          <w:iCs/>
          <w:sz w:val="22"/>
          <w:szCs w:val="22"/>
          <w:lang w:val="es-CO"/>
        </w:rPr>
      </w:pPr>
    </w:p>
    <w:p w14:paraId="5D1F80D3" w14:textId="754F519E" w:rsidR="00BF74E4" w:rsidRPr="00C95A99" w:rsidRDefault="00C95A99" w:rsidP="00C95A99">
      <w:pPr>
        <w:jc w:val="both"/>
        <w:rPr>
          <w:sz w:val="22"/>
          <w:szCs w:val="22"/>
          <w:highlight w:val="white"/>
          <w:lang w:val="es-CO"/>
        </w:rPr>
      </w:pPr>
      <w:r w:rsidRPr="00C95A99">
        <w:rPr>
          <w:i/>
          <w:iCs/>
          <w:sz w:val="22"/>
          <w:szCs w:val="22"/>
          <w:lang w:val="es-CO"/>
        </w:rPr>
        <w:t>Es fundamental que los padres y cuidadores sean conscientes de los factores de riesgo que rodean a sus hijos, pues la amenaza es real y está cada vez más presente en el entorno escolar. Las sustancias alucinógenas no solo llegan a los colegios a través de adultos, sino que también se infiltran utilizando a algunos menores como medios para su difusión. En muchos casos, estos niños y adolescentes, motivados por la obtención de ingresos, se ven involucrados en la distribución de drogas, lo que no solo afecta su rendimiento académico y su conducta, sino que los introduce a un círculo del que es difícil escapar</w:t>
      </w:r>
      <w:r w:rsidRPr="00C95A99">
        <w:rPr>
          <w:sz w:val="22"/>
          <w:szCs w:val="22"/>
          <w:lang w:val="es-CO"/>
        </w:rPr>
        <w:t>.</w:t>
      </w:r>
      <w:r>
        <w:rPr>
          <w:sz w:val="22"/>
          <w:szCs w:val="22"/>
          <w:lang w:val="es-CO"/>
        </w:rPr>
        <w:t>”</w:t>
      </w:r>
    </w:p>
    <w:p w14:paraId="7668966D" w14:textId="77777777" w:rsidR="005A4F88" w:rsidRDefault="005A4F88">
      <w:pPr>
        <w:jc w:val="both"/>
        <w:rPr>
          <w:sz w:val="22"/>
          <w:szCs w:val="22"/>
          <w:highlight w:val="white"/>
        </w:rPr>
      </w:pPr>
    </w:p>
    <w:p w14:paraId="58F5AA2C" w14:textId="2176E96E" w:rsidR="00443834" w:rsidRDefault="00443834">
      <w:pPr>
        <w:jc w:val="both"/>
        <w:rPr>
          <w:sz w:val="22"/>
          <w:szCs w:val="22"/>
          <w:highlight w:val="white"/>
        </w:rPr>
      </w:pPr>
      <w:r>
        <w:rPr>
          <w:sz w:val="22"/>
          <w:szCs w:val="22"/>
          <w:highlight w:val="white"/>
        </w:rPr>
        <w:t>Los menores se encuentran vulnerables frente a un hecho que si bien no está prohibido de manera general en la ley,</w:t>
      </w:r>
      <w:r w:rsidR="00BA7744">
        <w:rPr>
          <w:sz w:val="22"/>
          <w:szCs w:val="22"/>
          <w:highlight w:val="white"/>
        </w:rPr>
        <w:t xml:space="preserve"> como es el consumo por ejemplo de la dosis </w:t>
      </w:r>
      <w:proofErr w:type="gramStart"/>
      <w:r w:rsidR="00BA7744">
        <w:rPr>
          <w:sz w:val="22"/>
          <w:szCs w:val="22"/>
          <w:highlight w:val="white"/>
        </w:rPr>
        <w:t xml:space="preserve">mínima, </w:t>
      </w:r>
      <w:r>
        <w:rPr>
          <w:sz w:val="22"/>
          <w:szCs w:val="22"/>
          <w:highlight w:val="white"/>
        </w:rPr>
        <w:t xml:space="preserve"> </w:t>
      </w:r>
      <w:r w:rsidR="00635F9E">
        <w:rPr>
          <w:sz w:val="22"/>
          <w:szCs w:val="22"/>
          <w:highlight w:val="white"/>
        </w:rPr>
        <w:t>sí</w:t>
      </w:r>
      <w:proofErr w:type="gramEnd"/>
      <w:r w:rsidR="00635F9E">
        <w:rPr>
          <w:sz w:val="22"/>
          <w:szCs w:val="22"/>
          <w:highlight w:val="white"/>
        </w:rPr>
        <w:t xml:space="preserve"> afecta el comportamiento cuando se normaliza en los entornos inmediatos como los colegios, parques, plazoletas, servicio público de transporte y otros, donde adem</w:t>
      </w:r>
      <w:r w:rsidR="00BA7744">
        <w:rPr>
          <w:sz w:val="22"/>
          <w:szCs w:val="22"/>
          <w:highlight w:val="white"/>
        </w:rPr>
        <w:t xml:space="preserve">ás no hay discriminación de edades y los menores terminan siendo objeto de los vendedores, aumentando así la población adicta a más temprana edad. </w:t>
      </w:r>
    </w:p>
    <w:p w14:paraId="347A972D" w14:textId="77777777" w:rsidR="00BA7744" w:rsidRDefault="00BA7744">
      <w:pPr>
        <w:jc w:val="both"/>
        <w:rPr>
          <w:sz w:val="22"/>
          <w:szCs w:val="22"/>
          <w:highlight w:val="white"/>
        </w:rPr>
      </w:pPr>
    </w:p>
    <w:p w14:paraId="3544CF3A" w14:textId="672A7511" w:rsidR="00BA7744" w:rsidRDefault="00BA7744">
      <w:pPr>
        <w:jc w:val="both"/>
        <w:rPr>
          <w:sz w:val="22"/>
          <w:szCs w:val="22"/>
        </w:rPr>
      </w:pPr>
      <w:r>
        <w:rPr>
          <w:sz w:val="22"/>
          <w:szCs w:val="22"/>
          <w:highlight w:val="white"/>
        </w:rPr>
        <w:t>Sobre el caso del consumo en espacio público, han sido varios los debates que se han dado tanto al interior de las altas cortes como al interior de los gobiernos</w:t>
      </w:r>
      <w:r w:rsidR="00300058">
        <w:rPr>
          <w:sz w:val="22"/>
          <w:szCs w:val="22"/>
          <w:highlight w:val="white"/>
        </w:rPr>
        <w:t xml:space="preserve">. La Corte Constitucional de Colombia en sentencia C-127 de 2023 analizó la importancia de prohibir el consumo de sustancias sicoactivas en </w:t>
      </w:r>
      <w:r w:rsidR="00D420DD">
        <w:rPr>
          <w:sz w:val="22"/>
          <w:szCs w:val="22"/>
          <w:highlight w:val="white"/>
        </w:rPr>
        <w:t>parques y determinadas zonas del espacio público concluyendo que: “</w:t>
      </w:r>
      <w:r w:rsidR="00D420DD" w:rsidRPr="00D420DD">
        <w:rPr>
          <w:i/>
          <w:iCs/>
          <w:sz w:val="22"/>
          <w:szCs w:val="22"/>
        </w:rPr>
        <w:t>La prohibición absoluta de consumo de sustancias psicoactivas, aun de la dosis personal, en parques, es idónea para proteger los derechos de los niños que concurren a dichos espacios. En especial, porque garantiza un entorno seguro para el ejercicio integral de sus derechos fundamentales</w:t>
      </w:r>
      <w:r w:rsidR="00D420DD" w:rsidRPr="00D420DD">
        <w:rPr>
          <w:sz w:val="22"/>
          <w:szCs w:val="22"/>
        </w:rPr>
        <w:t>.</w:t>
      </w:r>
      <w:r w:rsidR="00D420DD">
        <w:rPr>
          <w:sz w:val="22"/>
          <w:szCs w:val="22"/>
        </w:rPr>
        <w:t>”</w:t>
      </w:r>
      <w:r w:rsidR="00E916DD">
        <w:rPr>
          <w:sz w:val="22"/>
          <w:szCs w:val="22"/>
        </w:rPr>
        <w:t>, para lo que tuvo en cuenta que el libre desarrollo de la personalidad es un derecho que encuentra su límite en el derecho del otro</w:t>
      </w:r>
      <w:r w:rsidR="00965246">
        <w:rPr>
          <w:sz w:val="22"/>
          <w:szCs w:val="22"/>
        </w:rPr>
        <w:t>, es decir, que sí existe un punto donde se restringe este derecho y es cuando ese libre desarrollo afecta de manera negativa a otra persona que a su vez goza del mismo derecho.</w:t>
      </w:r>
    </w:p>
    <w:p w14:paraId="61545E83" w14:textId="77777777" w:rsidR="00965246" w:rsidRDefault="00965246">
      <w:pPr>
        <w:jc w:val="both"/>
        <w:rPr>
          <w:sz w:val="22"/>
          <w:szCs w:val="22"/>
        </w:rPr>
      </w:pPr>
    </w:p>
    <w:p w14:paraId="4600AB5E" w14:textId="60D5A33A" w:rsidR="00CD1E7A" w:rsidRDefault="00CD1E7A">
      <w:pPr>
        <w:jc w:val="both"/>
        <w:rPr>
          <w:sz w:val="22"/>
          <w:szCs w:val="22"/>
        </w:rPr>
      </w:pPr>
      <w:r>
        <w:rPr>
          <w:sz w:val="22"/>
          <w:szCs w:val="22"/>
        </w:rPr>
        <w:t xml:space="preserve">La Corte reconoció que uno de los factores preponderantes en la decisión de prohibir el expendio y consumo de sustancias sicoactivas en determinados espacios </w:t>
      </w:r>
      <w:r w:rsidR="00C8729D">
        <w:rPr>
          <w:sz w:val="22"/>
          <w:szCs w:val="22"/>
        </w:rPr>
        <w:t xml:space="preserve">es el principio de protección de los menores frente a riesgos prohibidos donde señalo que </w:t>
      </w:r>
      <w:r w:rsidR="00B420E5">
        <w:rPr>
          <w:sz w:val="22"/>
          <w:szCs w:val="22"/>
        </w:rPr>
        <w:t>“</w:t>
      </w:r>
      <w:r w:rsidR="00B420E5" w:rsidRPr="00B420E5">
        <w:rPr>
          <w:i/>
          <w:iCs/>
          <w:sz w:val="22"/>
          <w:szCs w:val="22"/>
        </w:rPr>
        <w:t xml:space="preserve">La Corte reitera el principio de protección de los niños ante riesgos prohibidos, en el marco de aquellos mandatos de efectivización de los principios de interés superior del niño y pro </w:t>
      </w:r>
      <w:proofErr w:type="spellStart"/>
      <w:r w:rsidR="00B420E5" w:rsidRPr="00B420E5">
        <w:rPr>
          <w:i/>
          <w:iCs/>
          <w:sz w:val="22"/>
          <w:szCs w:val="22"/>
        </w:rPr>
        <w:t>infans</w:t>
      </w:r>
      <w:proofErr w:type="spellEnd"/>
      <w:r w:rsidR="00B420E5" w:rsidRPr="00B420E5">
        <w:rPr>
          <w:i/>
          <w:iCs/>
          <w:sz w:val="22"/>
          <w:szCs w:val="22"/>
        </w:rPr>
        <w:t>. Bajo ese entendido, el Estado, la familia y la sociedad tienen el deber de proteger a los menores de edad frente a condiciones extremas que amenacen su desarrollo armónico, tales como la drogadicción.</w:t>
      </w:r>
      <w:r w:rsidR="00B420E5">
        <w:rPr>
          <w:i/>
          <w:iCs/>
          <w:sz w:val="22"/>
          <w:szCs w:val="22"/>
        </w:rPr>
        <w:t>”</w:t>
      </w:r>
      <w:r w:rsidR="00605448">
        <w:rPr>
          <w:i/>
          <w:iCs/>
          <w:sz w:val="22"/>
          <w:szCs w:val="22"/>
        </w:rPr>
        <w:t>.</w:t>
      </w:r>
      <w:r w:rsidR="00755BE9">
        <w:rPr>
          <w:i/>
          <w:iCs/>
          <w:sz w:val="22"/>
          <w:szCs w:val="22"/>
        </w:rPr>
        <w:t xml:space="preserve"> </w:t>
      </w:r>
      <w:r w:rsidR="00605448">
        <w:rPr>
          <w:sz w:val="22"/>
          <w:szCs w:val="22"/>
        </w:rPr>
        <w:t>Esta sentencia</w:t>
      </w:r>
      <w:r w:rsidR="00755BE9">
        <w:rPr>
          <w:sz w:val="22"/>
          <w:szCs w:val="22"/>
        </w:rPr>
        <w:t>,</w:t>
      </w:r>
      <w:r w:rsidR="00605448">
        <w:rPr>
          <w:sz w:val="22"/>
          <w:szCs w:val="22"/>
        </w:rPr>
        <w:t xml:space="preserve"> que decidió sobre la demanda de inconstitucionalidad interpuesta contra los numerales 13 y 14 parciales y los numerales </w:t>
      </w:r>
      <w:r w:rsidR="005D1066">
        <w:rPr>
          <w:sz w:val="22"/>
          <w:szCs w:val="22"/>
        </w:rPr>
        <w:t>13 y 14 del parágrafo 2 del artículo 140 de la ley 1801 de 2016, adicionados por la ley 200 de 2019</w:t>
      </w:r>
      <w:r w:rsidR="00962E35">
        <w:rPr>
          <w:sz w:val="22"/>
          <w:szCs w:val="22"/>
        </w:rPr>
        <w:t>, concluyó:</w:t>
      </w:r>
    </w:p>
    <w:p w14:paraId="0439664F" w14:textId="77777777" w:rsidR="00962E35" w:rsidRDefault="00962E35">
      <w:pPr>
        <w:jc w:val="both"/>
        <w:rPr>
          <w:sz w:val="22"/>
          <w:szCs w:val="22"/>
        </w:rPr>
      </w:pPr>
    </w:p>
    <w:p w14:paraId="63FDFAD4" w14:textId="31717357" w:rsidR="00962E35" w:rsidRPr="00605448" w:rsidRDefault="00962E35">
      <w:pPr>
        <w:jc w:val="both"/>
        <w:rPr>
          <w:sz w:val="22"/>
          <w:szCs w:val="22"/>
        </w:rPr>
      </w:pPr>
      <w:r>
        <w:rPr>
          <w:sz w:val="22"/>
          <w:szCs w:val="22"/>
        </w:rPr>
        <w:t>“</w:t>
      </w:r>
      <w:r w:rsidRPr="00962E35">
        <w:rPr>
          <w:i/>
          <w:iCs/>
          <w:sz w:val="22"/>
          <w:szCs w:val="22"/>
        </w:rPr>
        <w:t xml:space="preserve">DECLARAR EXEQUIBLE la expresión “portar” en el entendido de que esta restricción no se aplica cuando se trata del porte con fines de consumo propio o de dosis medicada. Adicionalmente, DECLARAR EXEQUIBLES las expresiones “consumir”, “sustancias psicoactivas, inclusive la dosis personal”, “y en parques” en el entendido de que la restricción aplica, además, en garantía de los derechos de los niños, niñas y adolescentes, y conforme a la regulación que expidan las autoridades que ejercen poder de policía en todos los niveles, en el ámbito de sus competencias, con base en los principios pro </w:t>
      </w:r>
      <w:proofErr w:type="spellStart"/>
      <w:r w:rsidRPr="00962E35">
        <w:rPr>
          <w:i/>
          <w:iCs/>
          <w:sz w:val="22"/>
          <w:szCs w:val="22"/>
        </w:rPr>
        <w:t>infans</w:t>
      </w:r>
      <w:proofErr w:type="spellEnd"/>
      <w:r w:rsidRPr="00962E35">
        <w:rPr>
          <w:i/>
          <w:iCs/>
          <w:sz w:val="22"/>
          <w:szCs w:val="22"/>
        </w:rPr>
        <w:t>, de proporcionalidad, razonabilida</w:t>
      </w:r>
      <w:r w:rsidR="00F03BC2">
        <w:rPr>
          <w:i/>
          <w:iCs/>
          <w:sz w:val="22"/>
          <w:szCs w:val="22"/>
        </w:rPr>
        <w:t xml:space="preserve">d y </w:t>
      </w:r>
      <w:r w:rsidRPr="00962E35">
        <w:rPr>
          <w:i/>
          <w:iCs/>
          <w:sz w:val="22"/>
          <w:szCs w:val="22"/>
        </w:rPr>
        <w:t xml:space="preserve">autonomía </w:t>
      </w:r>
      <w:proofErr w:type="gramStart"/>
      <w:r w:rsidRPr="00962E35">
        <w:rPr>
          <w:i/>
          <w:iCs/>
          <w:sz w:val="22"/>
          <w:szCs w:val="22"/>
        </w:rPr>
        <w:t>territorial,(</w:t>
      </w:r>
      <w:proofErr w:type="gramEnd"/>
      <w:r w:rsidRPr="00962E35">
        <w:rPr>
          <w:i/>
          <w:iCs/>
          <w:sz w:val="22"/>
          <w:szCs w:val="22"/>
        </w:rPr>
        <w:t>…)”</w:t>
      </w:r>
    </w:p>
    <w:p w14:paraId="523B43C1" w14:textId="77777777" w:rsidR="00D420DD" w:rsidRDefault="00D420DD">
      <w:pPr>
        <w:jc w:val="both"/>
        <w:rPr>
          <w:sz w:val="22"/>
          <w:szCs w:val="22"/>
          <w:highlight w:val="white"/>
        </w:rPr>
      </w:pPr>
    </w:p>
    <w:p w14:paraId="1C66D612" w14:textId="5E01025D" w:rsidR="008F2CC1" w:rsidRDefault="008F2CC1">
      <w:pPr>
        <w:jc w:val="both"/>
        <w:rPr>
          <w:sz w:val="22"/>
          <w:szCs w:val="22"/>
        </w:rPr>
      </w:pPr>
      <w:r>
        <w:rPr>
          <w:sz w:val="22"/>
          <w:szCs w:val="22"/>
          <w:highlight w:val="white"/>
        </w:rPr>
        <w:t>Derivado de ello, en 2024 se expidió</w:t>
      </w:r>
      <w:r w:rsidR="00482849">
        <w:rPr>
          <w:sz w:val="22"/>
          <w:szCs w:val="22"/>
          <w:highlight w:val="white"/>
        </w:rPr>
        <w:t xml:space="preserve"> el” </w:t>
      </w:r>
      <w:r w:rsidR="00482849" w:rsidRPr="00482849">
        <w:rPr>
          <w:sz w:val="22"/>
          <w:szCs w:val="22"/>
        </w:rPr>
        <w:t>Protocolo para la aplicación de artículos del Código Nacional de Seguridad y Convivencia Ciudadana, relacionados con la restricción del consumo de sustancias psicoactivas en parques y zonas del espacio público.</w:t>
      </w:r>
      <w:r w:rsidR="00482849">
        <w:rPr>
          <w:sz w:val="22"/>
          <w:szCs w:val="22"/>
        </w:rPr>
        <w:t xml:space="preserve">”, que plantea pautas </w:t>
      </w:r>
      <w:r w:rsidR="003C2F0B">
        <w:rPr>
          <w:sz w:val="22"/>
          <w:szCs w:val="22"/>
        </w:rPr>
        <w:t xml:space="preserve">para que las autoridades de policía de las diferentes entidades territoriales </w:t>
      </w:r>
      <w:r w:rsidR="002D6554">
        <w:rPr>
          <w:sz w:val="22"/>
          <w:szCs w:val="22"/>
        </w:rPr>
        <w:t xml:space="preserve"> regulen el consumo de sustancias sicoactivas, conforme a las competencias legales y la autonomía territorial, con especial protección de los menores.</w:t>
      </w:r>
      <w:r w:rsidR="00CF1B16">
        <w:rPr>
          <w:sz w:val="22"/>
          <w:szCs w:val="22"/>
        </w:rPr>
        <w:t xml:space="preserve"> Estas pautas, muy cuestionadas en su momento incluyeron: </w:t>
      </w:r>
    </w:p>
    <w:p w14:paraId="78F782EC" w14:textId="77777777" w:rsidR="00CF1B16" w:rsidRDefault="00CF1B16">
      <w:pPr>
        <w:jc w:val="both"/>
        <w:rPr>
          <w:sz w:val="22"/>
          <w:szCs w:val="22"/>
        </w:rPr>
      </w:pPr>
    </w:p>
    <w:p w14:paraId="4BF3CD60" w14:textId="77777777" w:rsidR="00CF1B16" w:rsidRPr="00CF1B16" w:rsidRDefault="00CF1B16" w:rsidP="00CF1B16">
      <w:pPr>
        <w:numPr>
          <w:ilvl w:val="0"/>
          <w:numId w:val="12"/>
        </w:numPr>
        <w:jc w:val="both"/>
        <w:rPr>
          <w:sz w:val="22"/>
          <w:szCs w:val="22"/>
          <w:lang w:val="es-CO"/>
        </w:rPr>
      </w:pPr>
      <w:r w:rsidRPr="00CF1B16">
        <w:rPr>
          <w:sz w:val="22"/>
          <w:szCs w:val="22"/>
          <w:lang w:val="es-CO"/>
        </w:rPr>
        <w:t>Protección integral e interés superior de los niños niñas y adolescentes.</w:t>
      </w:r>
    </w:p>
    <w:p w14:paraId="631AB38A" w14:textId="77777777" w:rsidR="00CF1B16" w:rsidRPr="00CF1B16" w:rsidRDefault="00CF1B16" w:rsidP="00CF1B16">
      <w:pPr>
        <w:numPr>
          <w:ilvl w:val="0"/>
          <w:numId w:val="12"/>
        </w:numPr>
        <w:jc w:val="both"/>
        <w:rPr>
          <w:sz w:val="22"/>
          <w:szCs w:val="22"/>
          <w:lang w:val="es-CO"/>
        </w:rPr>
      </w:pPr>
      <w:r w:rsidRPr="00CF1B16">
        <w:rPr>
          <w:sz w:val="22"/>
          <w:szCs w:val="22"/>
          <w:lang w:val="es-CO"/>
        </w:rPr>
        <w:t>Se debe diferenciar entre las actividades de porte de dosis para uso personal y consumo en contraste con el delito de tráfico, fabricación o porte de estupefacientes.</w:t>
      </w:r>
    </w:p>
    <w:p w14:paraId="1266A2E8" w14:textId="77777777" w:rsidR="00CF1B16" w:rsidRPr="00CF1B16" w:rsidRDefault="00CF1B16" w:rsidP="00CF1B16">
      <w:pPr>
        <w:numPr>
          <w:ilvl w:val="0"/>
          <w:numId w:val="12"/>
        </w:numPr>
        <w:jc w:val="both"/>
        <w:rPr>
          <w:sz w:val="22"/>
          <w:szCs w:val="22"/>
          <w:lang w:val="es-CO"/>
        </w:rPr>
      </w:pPr>
      <w:r w:rsidRPr="00CF1B16">
        <w:rPr>
          <w:sz w:val="22"/>
          <w:szCs w:val="22"/>
          <w:lang w:val="es-CO"/>
        </w:rPr>
        <w:t>Aplicar el principio de no discriminación frente a las personas que consumen sustancias psicoactivas.</w:t>
      </w:r>
    </w:p>
    <w:p w14:paraId="068455BB" w14:textId="77777777" w:rsidR="00CF1B16" w:rsidRPr="00CF1B16" w:rsidRDefault="00CF1B16" w:rsidP="00CF1B16">
      <w:pPr>
        <w:numPr>
          <w:ilvl w:val="0"/>
          <w:numId w:val="12"/>
        </w:numPr>
        <w:jc w:val="both"/>
        <w:rPr>
          <w:sz w:val="22"/>
          <w:szCs w:val="22"/>
          <w:lang w:val="es-CO"/>
        </w:rPr>
      </w:pPr>
      <w:r w:rsidRPr="00CF1B16">
        <w:rPr>
          <w:sz w:val="22"/>
          <w:szCs w:val="22"/>
          <w:lang w:val="es-CO"/>
        </w:rPr>
        <w:t>El consumo de sustancias psicoactivas debe abordarse con enfoques de salud pública, derechos humanos y de respeto a la diferencia.</w:t>
      </w:r>
    </w:p>
    <w:p w14:paraId="0F3BA3B8" w14:textId="77777777" w:rsidR="00C40056" w:rsidRDefault="00C40056">
      <w:pPr>
        <w:jc w:val="both"/>
        <w:rPr>
          <w:sz w:val="22"/>
          <w:szCs w:val="22"/>
          <w:lang w:val="es-CO"/>
        </w:rPr>
      </w:pPr>
    </w:p>
    <w:p w14:paraId="5D6C7D85" w14:textId="20FF4C85" w:rsidR="00CF1B16" w:rsidRDefault="00474997">
      <w:pPr>
        <w:jc w:val="both"/>
        <w:rPr>
          <w:sz w:val="22"/>
          <w:szCs w:val="22"/>
        </w:rPr>
      </w:pPr>
      <w:r>
        <w:rPr>
          <w:sz w:val="22"/>
          <w:szCs w:val="22"/>
          <w:lang w:val="es-CO"/>
        </w:rPr>
        <w:t>El protocolo señaló que</w:t>
      </w:r>
      <w:r w:rsidR="00C40056">
        <w:rPr>
          <w:sz w:val="22"/>
          <w:szCs w:val="22"/>
          <w:lang w:val="es-CO"/>
        </w:rPr>
        <w:t xml:space="preserve"> “</w:t>
      </w:r>
      <w:r w:rsidR="00C40056" w:rsidRPr="00C40056">
        <w:rPr>
          <w:i/>
          <w:iCs/>
          <w:sz w:val="22"/>
          <w:szCs w:val="22"/>
        </w:rPr>
        <w:t>Los derechos de los niños, niñas y adolescentes prevalecen sobre los derechos de los demás3, de tal modo que su ejercicio en los denominados “parques”, y “zonas del espacio público, tales como zonas históricas o declaradas de interés cultural, u otras establecidas por motivos de interés público”4, deben ser protegidos de manera prevalente por la familia, la sociedad y el Estado, más aún cuando los mismos son utilizados para el descanso y esparcimiento, el juego y las actividades recreativas propias de su edad. En otras palabras, los espacios destinados para el desarrollo de los NNA tienen “un gran significado en la vida infantil</w:t>
      </w:r>
      <w:r w:rsidR="00C40056">
        <w:rPr>
          <w:sz w:val="22"/>
          <w:szCs w:val="22"/>
        </w:rPr>
        <w:t>”</w:t>
      </w:r>
      <w:r w:rsidR="00AF608B">
        <w:rPr>
          <w:sz w:val="22"/>
          <w:szCs w:val="22"/>
        </w:rPr>
        <w:t>, por lo tanto, incluyó como base fundamental de la metodología el principio de prevención de consumo de SPA en niños, niñas y adolescentes, así como un enfoque de derechos humanos</w:t>
      </w:r>
      <w:r w:rsidR="00301169">
        <w:rPr>
          <w:sz w:val="22"/>
          <w:szCs w:val="22"/>
        </w:rPr>
        <w:t>, desde la perspectiva de la garantía de derechos a los NNA.</w:t>
      </w:r>
    </w:p>
    <w:p w14:paraId="697C983F" w14:textId="77777777" w:rsidR="00301169" w:rsidRDefault="00301169">
      <w:pPr>
        <w:jc w:val="both"/>
        <w:rPr>
          <w:sz w:val="22"/>
          <w:szCs w:val="22"/>
        </w:rPr>
      </w:pPr>
    </w:p>
    <w:p w14:paraId="7BF7C0D2" w14:textId="0AF00A97" w:rsidR="00301169" w:rsidRDefault="00301169">
      <w:pPr>
        <w:jc w:val="both"/>
        <w:rPr>
          <w:sz w:val="22"/>
          <w:szCs w:val="22"/>
        </w:rPr>
      </w:pPr>
      <w:r>
        <w:rPr>
          <w:sz w:val="22"/>
          <w:szCs w:val="22"/>
        </w:rPr>
        <w:t xml:space="preserve">Otro de los enfoques que resulta muy importante para el proyecto que se discutirá es que </w:t>
      </w:r>
      <w:r w:rsidR="004C6396">
        <w:rPr>
          <w:sz w:val="22"/>
          <w:szCs w:val="22"/>
        </w:rPr>
        <w:t>se refuerza la necesidad de la actuación polici</w:t>
      </w:r>
      <w:r w:rsidR="007945D0">
        <w:rPr>
          <w:sz w:val="22"/>
          <w:szCs w:val="22"/>
        </w:rPr>
        <w:t>va para sancionar el porte y</w:t>
      </w:r>
      <w:r w:rsidR="00F22C2C">
        <w:rPr>
          <w:sz w:val="22"/>
          <w:szCs w:val="22"/>
        </w:rPr>
        <w:t xml:space="preserve"> consumo de SPA en las zonas referidas en e</w:t>
      </w:r>
      <w:r w:rsidR="00D650CE">
        <w:rPr>
          <w:sz w:val="22"/>
          <w:szCs w:val="22"/>
        </w:rPr>
        <w:t>l</w:t>
      </w:r>
      <w:r w:rsidR="00F22C2C">
        <w:rPr>
          <w:sz w:val="22"/>
          <w:szCs w:val="22"/>
        </w:rPr>
        <w:t xml:space="preserve"> código de policía. </w:t>
      </w:r>
    </w:p>
    <w:p w14:paraId="7ECE7956" w14:textId="77777777" w:rsidR="00F22C2C" w:rsidRDefault="00F22C2C">
      <w:pPr>
        <w:jc w:val="both"/>
        <w:rPr>
          <w:sz w:val="22"/>
          <w:szCs w:val="22"/>
          <w:lang w:val="es-CO"/>
        </w:rPr>
      </w:pPr>
    </w:p>
    <w:p w14:paraId="7A4C4085" w14:textId="17B85EE7" w:rsidR="00D650CE" w:rsidRDefault="00D650CE">
      <w:pPr>
        <w:jc w:val="both"/>
        <w:rPr>
          <w:sz w:val="22"/>
          <w:szCs w:val="22"/>
          <w:lang w:val="es-CO"/>
        </w:rPr>
      </w:pPr>
      <w:r>
        <w:rPr>
          <w:sz w:val="22"/>
          <w:szCs w:val="22"/>
          <w:lang w:val="es-CO"/>
        </w:rPr>
        <w:t xml:space="preserve">Por estas razones, y en el entendido que hay suficiente ilustración alrededor de la necesidad de prevenir que los consumidores </w:t>
      </w:r>
      <w:r w:rsidR="00E77DC1">
        <w:rPr>
          <w:sz w:val="22"/>
          <w:szCs w:val="22"/>
          <w:lang w:val="es-CO"/>
        </w:rPr>
        <w:t xml:space="preserve">y expendedores se encuentren en espacios donde hay menores de edad y familias, </w:t>
      </w:r>
      <w:r w:rsidR="00B03283">
        <w:rPr>
          <w:sz w:val="22"/>
          <w:szCs w:val="22"/>
          <w:lang w:val="es-CO"/>
        </w:rPr>
        <w:t xml:space="preserve">se hace necesario avanzar con el proyecto propuesto por el concejal Andrés Barrios. </w:t>
      </w:r>
    </w:p>
    <w:p w14:paraId="7E1F742A" w14:textId="77777777" w:rsidR="00B03283" w:rsidRDefault="00B03283">
      <w:pPr>
        <w:jc w:val="both"/>
        <w:rPr>
          <w:sz w:val="22"/>
          <w:szCs w:val="22"/>
          <w:lang w:val="es-CO"/>
        </w:rPr>
      </w:pPr>
    </w:p>
    <w:p w14:paraId="6434846D" w14:textId="77777777" w:rsidR="00B03283" w:rsidRDefault="00B03283">
      <w:pPr>
        <w:jc w:val="both"/>
        <w:rPr>
          <w:sz w:val="22"/>
          <w:szCs w:val="22"/>
          <w:lang w:val="es-CO"/>
        </w:rPr>
      </w:pPr>
    </w:p>
    <w:p w14:paraId="3A3E7BE4" w14:textId="77777777" w:rsidR="00B03283" w:rsidRPr="00CF1B16" w:rsidRDefault="00B03283">
      <w:pPr>
        <w:jc w:val="both"/>
        <w:rPr>
          <w:sz w:val="22"/>
          <w:szCs w:val="22"/>
          <w:lang w:val="es-CO"/>
        </w:rPr>
      </w:pPr>
    </w:p>
    <w:p w14:paraId="650C83B6" w14:textId="77777777" w:rsidR="002D6554" w:rsidRDefault="002D6554">
      <w:pPr>
        <w:jc w:val="both"/>
        <w:rPr>
          <w:sz w:val="22"/>
          <w:szCs w:val="22"/>
        </w:rPr>
      </w:pPr>
    </w:p>
    <w:p w14:paraId="40FC433E" w14:textId="77777777" w:rsidR="002D6554" w:rsidRPr="00F37E2E" w:rsidRDefault="002D6554">
      <w:pPr>
        <w:jc w:val="both"/>
        <w:rPr>
          <w:sz w:val="22"/>
          <w:szCs w:val="22"/>
          <w:highlight w:val="white"/>
        </w:rPr>
      </w:pPr>
    </w:p>
    <w:p w14:paraId="255FC29B" w14:textId="77777777" w:rsidR="005A4F88" w:rsidRPr="00F37E2E" w:rsidRDefault="00280440" w:rsidP="00F37E2E">
      <w:pPr>
        <w:pStyle w:val="Prrafodelista"/>
        <w:numPr>
          <w:ilvl w:val="0"/>
          <w:numId w:val="1"/>
        </w:numPr>
        <w:jc w:val="both"/>
        <w:rPr>
          <w:b/>
          <w:sz w:val="22"/>
          <w:szCs w:val="22"/>
          <w:highlight w:val="white"/>
          <w:u w:val="single"/>
        </w:rPr>
      </w:pPr>
      <w:r w:rsidRPr="00F37E2E">
        <w:rPr>
          <w:b/>
          <w:sz w:val="22"/>
          <w:szCs w:val="22"/>
          <w:highlight w:val="white"/>
          <w:u w:val="single"/>
        </w:rPr>
        <w:t>CONCLUSIONES</w:t>
      </w:r>
    </w:p>
    <w:p w14:paraId="65B97EDC" w14:textId="77777777" w:rsidR="005A4F88" w:rsidRPr="00F37E2E" w:rsidRDefault="005A4F88">
      <w:pPr>
        <w:jc w:val="both"/>
        <w:rPr>
          <w:b/>
          <w:sz w:val="22"/>
          <w:szCs w:val="22"/>
          <w:highlight w:val="white"/>
          <w:u w:val="single"/>
        </w:rPr>
      </w:pPr>
    </w:p>
    <w:p w14:paraId="1844B3DD" w14:textId="669921FA" w:rsidR="005A4F88" w:rsidRPr="00F37E2E" w:rsidRDefault="00280440">
      <w:pPr>
        <w:jc w:val="both"/>
        <w:rPr>
          <w:sz w:val="22"/>
          <w:szCs w:val="22"/>
        </w:rPr>
      </w:pPr>
      <w:r w:rsidRPr="00F37E2E">
        <w:rPr>
          <w:sz w:val="22"/>
          <w:szCs w:val="22"/>
          <w:highlight w:val="white"/>
        </w:rPr>
        <w:t xml:space="preserve">Teniendo en cuenta las consideraciones planteadas y los argumentos sostenidos, </w:t>
      </w:r>
      <w:r w:rsidRPr="00F37E2E">
        <w:rPr>
          <w:sz w:val="22"/>
          <w:szCs w:val="22"/>
        </w:rPr>
        <w:t xml:space="preserve">me permito rendir </w:t>
      </w:r>
      <w:r w:rsidRPr="00F37E2E">
        <w:rPr>
          <w:b/>
          <w:sz w:val="22"/>
          <w:szCs w:val="22"/>
        </w:rPr>
        <w:t xml:space="preserve">PONENCIA </w:t>
      </w:r>
      <w:r w:rsidR="001A698B">
        <w:rPr>
          <w:b/>
          <w:sz w:val="22"/>
          <w:szCs w:val="22"/>
        </w:rPr>
        <w:t>POSITIVA</w:t>
      </w:r>
      <w:r w:rsidR="009E539F">
        <w:rPr>
          <w:sz w:val="22"/>
          <w:szCs w:val="22"/>
        </w:rPr>
        <w:t xml:space="preserve"> al Proyecto de Acuerdo </w:t>
      </w:r>
      <w:r w:rsidR="001A698B">
        <w:rPr>
          <w:sz w:val="22"/>
          <w:szCs w:val="22"/>
        </w:rPr>
        <w:t xml:space="preserve">097 </w:t>
      </w:r>
      <w:r w:rsidRPr="00F37E2E">
        <w:rPr>
          <w:sz w:val="22"/>
          <w:szCs w:val="22"/>
        </w:rPr>
        <w:t xml:space="preserve">de </w:t>
      </w:r>
      <w:r w:rsidR="00CA347E" w:rsidRPr="00F37E2E">
        <w:rPr>
          <w:sz w:val="22"/>
          <w:szCs w:val="22"/>
        </w:rPr>
        <w:t>202</w:t>
      </w:r>
      <w:r w:rsidR="001A698B">
        <w:rPr>
          <w:sz w:val="22"/>
          <w:szCs w:val="22"/>
        </w:rPr>
        <w:t>5</w:t>
      </w:r>
      <w:r w:rsidR="00CA347E" w:rsidRPr="00F37E2E">
        <w:rPr>
          <w:sz w:val="22"/>
          <w:szCs w:val="22"/>
        </w:rPr>
        <w:t xml:space="preserve">, </w:t>
      </w:r>
      <w:r w:rsidR="0016569B" w:rsidRPr="0016569B">
        <w:rPr>
          <w:sz w:val="22"/>
          <w:szCs w:val="22"/>
        </w:rPr>
        <w:t>“Por el cual se establece señalización clara en los perímetros y zonas en los que no está permitido el consumo de drogas en el espacio público”</w:t>
      </w:r>
    </w:p>
    <w:p w14:paraId="1EB4D504" w14:textId="77777777" w:rsidR="005A4F88" w:rsidRPr="00F37E2E" w:rsidRDefault="005A4F88">
      <w:pPr>
        <w:jc w:val="both"/>
        <w:rPr>
          <w:sz w:val="22"/>
          <w:szCs w:val="22"/>
        </w:rPr>
      </w:pPr>
    </w:p>
    <w:p w14:paraId="1A5CC8FB" w14:textId="77777777" w:rsidR="005A4F88" w:rsidRDefault="005A4F88">
      <w:pPr>
        <w:jc w:val="both"/>
        <w:rPr>
          <w:sz w:val="22"/>
          <w:szCs w:val="22"/>
          <w:highlight w:val="white"/>
        </w:rPr>
      </w:pPr>
    </w:p>
    <w:p w14:paraId="17966E73" w14:textId="77777777" w:rsidR="00B03283" w:rsidRPr="00F37E2E" w:rsidRDefault="00B03283">
      <w:pPr>
        <w:jc w:val="both"/>
        <w:rPr>
          <w:sz w:val="22"/>
          <w:szCs w:val="22"/>
          <w:highlight w:val="white"/>
        </w:rPr>
      </w:pPr>
    </w:p>
    <w:p w14:paraId="74970671" w14:textId="77777777" w:rsidR="005A4F88" w:rsidRPr="00F37E2E" w:rsidRDefault="00280440">
      <w:pPr>
        <w:jc w:val="both"/>
        <w:rPr>
          <w:sz w:val="22"/>
          <w:szCs w:val="22"/>
          <w:highlight w:val="white"/>
        </w:rPr>
      </w:pPr>
      <w:r w:rsidRPr="00F37E2E">
        <w:rPr>
          <w:sz w:val="22"/>
          <w:szCs w:val="22"/>
          <w:highlight w:val="white"/>
        </w:rPr>
        <w:t xml:space="preserve">Cordialmente, </w:t>
      </w:r>
    </w:p>
    <w:p w14:paraId="60DF2545" w14:textId="77777777" w:rsidR="005A4F88" w:rsidRDefault="005A4F88">
      <w:pPr>
        <w:jc w:val="both"/>
        <w:rPr>
          <w:sz w:val="22"/>
          <w:szCs w:val="22"/>
          <w:highlight w:val="white"/>
        </w:rPr>
      </w:pPr>
    </w:p>
    <w:p w14:paraId="0F07662A" w14:textId="77777777" w:rsidR="00B03283" w:rsidRDefault="00B03283">
      <w:pPr>
        <w:jc w:val="both"/>
        <w:rPr>
          <w:sz w:val="22"/>
          <w:szCs w:val="22"/>
          <w:highlight w:val="white"/>
        </w:rPr>
      </w:pPr>
    </w:p>
    <w:p w14:paraId="2189D255" w14:textId="77777777" w:rsidR="00B03283" w:rsidRPr="00F37E2E" w:rsidRDefault="00B03283">
      <w:pPr>
        <w:jc w:val="both"/>
        <w:rPr>
          <w:sz w:val="22"/>
          <w:szCs w:val="22"/>
          <w:highlight w:val="white"/>
        </w:rPr>
      </w:pPr>
    </w:p>
    <w:p w14:paraId="6BA5AA98" w14:textId="77777777" w:rsidR="005A4F88" w:rsidRPr="00F37E2E" w:rsidRDefault="005A4F88">
      <w:pPr>
        <w:jc w:val="both"/>
        <w:rPr>
          <w:sz w:val="22"/>
          <w:szCs w:val="22"/>
          <w:highlight w:val="white"/>
        </w:rPr>
      </w:pPr>
    </w:p>
    <w:p w14:paraId="4D8E83F3" w14:textId="77777777" w:rsidR="005A4F88" w:rsidRPr="00F37E2E" w:rsidRDefault="005A4F88">
      <w:pPr>
        <w:jc w:val="both"/>
        <w:rPr>
          <w:sz w:val="22"/>
          <w:szCs w:val="22"/>
          <w:highlight w:val="white"/>
        </w:rPr>
      </w:pPr>
    </w:p>
    <w:p w14:paraId="6F68EF7F" w14:textId="77777777" w:rsidR="005A4F88" w:rsidRPr="00F37E2E" w:rsidRDefault="00280440">
      <w:pPr>
        <w:jc w:val="both"/>
        <w:rPr>
          <w:sz w:val="22"/>
          <w:szCs w:val="22"/>
          <w:highlight w:val="white"/>
        </w:rPr>
      </w:pPr>
      <w:r w:rsidRPr="00F37E2E">
        <w:rPr>
          <w:sz w:val="22"/>
          <w:szCs w:val="22"/>
          <w:highlight w:val="white"/>
        </w:rPr>
        <w:t>______________________________________</w:t>
      </w:r>
    </w:p>
    <w:p w14:paraId="27B8BC65" w14:textId="77777777" w:rsidR="005A4F88" w:rsidRPr="00F37E2E" w:rsidRDefault="00280440">
      <w:pPr>
        <w:jc w:val="both"/>
        <w:rPr>
          <w:b/>
          <w:sz w:val="22"/>
          <w:szCs w:val="22"/>
          <w:highlight w:val="white"/>
        </w:rPr>
      </w:pPr>
      <w:r w:rsidRPr="00F37E2E">
        <w:rPr>
          <w:b/>
          <w:sz w:val="22"/>
          <w:szCs w:val="22"/>
          <w:highlight w:val="white"/>
        </w:rPr>
        <w:t>GERMÁN AUGUSTO GARCÍA MAYA</w:t>
      </w:r>
    </w:p>
    <w:p w14:paraId="75203FD6" w14:textId="77777777" w:rsidR="005A4F88" w:rsidRPr="00F37E2E" w:rsidRDefault="00280440">
      <w:pPr>
        <w:jc w:val="both"/>
        <w:rPr>
          <w:sz w:val="22"/>
          <w:szCs w:val="22"/>
          <w:highlight w:val="white"/>
        </w:rPr>
      </w:pPr>
      <w:r w:rsidRPr="00F37E2E">
        <w:rPr>
          <w:sz w:val="22"/>
          <w:szCs w:val="22"/>
          <w:highlight w:val="white"/>
        </w:rPr>
        <w:t>Concejal de Bogotá D.C</w:t>
      </w:r>
    </w:p>
    <w:p w14:paraId="713DEA14" w14:textId="77777777" w:rsidR="005A4F88" w:rsidRPr="00F37E2E" w:rsidRDefault="00280440">
      <w:pPr>
        <w:jc w:val="both"/>
        <w:rPr>
          <w:sz w:val="22"/>
          <w:szCs w:val="22"/>
          <w:highlight w:val="white"/>
        </w:rPr>
      </w:pPr>
      <w:r w:rsidRPr="00F37E2E">
        <w:rPr>
          <w:sz w:val="22"/>
          <w:szCs w:val="22"/>
          <w:highlight w:val="white"/>
        </w:rPr>
        <w:t>Ponente</w:t>
      </w:r>
    </w:p>
    <w:sectPr w:rsidR="005A4F88" w:rsidRPr="00F37E2E">
      <w:headerReference w:type="default" r:id="rId8"/>
      <w:footerReference w:type="even" r:id="rId9"/>
      <w:footerReference w:type="default" r:id="rId10"/>
      <w:pgSz w:w="12242" w:h="15842"/>
      <w:pgMar w:top="1701" w:right="1701" w:bottom="1701" w:left="1701" w:header="1134" w:footer="851"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C4327A" w14:textId="77777777" w:rsidR="002741A8" w:rsidRDefault="002741A8">
      <w:r>
        <w:separator/>
      </w:r>
    </w:p>
  </w:endnote>
  <w:endnote w:type="continuationSeparator" w:id="0">
    <w:p w14:paraId="13BD0595" w14:textId="77777777" w:rsidR="002741A8" w:rsidRDefault="00274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1388F" w14:textId="77777777" w:rsidR="005A4F88" w:rsidRDefault="00280440">
    <w:pPr>
      <w:pBdr>
        <w:top w:val="nil"/>
        <w:left w:val="nil"/>
        <w:bottom w:val="nil"/>
        <w:right w:val="nil"/>
        <w:between w:val="nil"/>
      </w:pBdr>
      <w:tabs>
        <w:tab w:val="center" w:pos="4252"/>
        <w:tab w:val="right" w:pos="8504"/>
      </w:tabs>
      <w:jc w:val="right"/>
    </w:pPr>
    <w:r>
      <w:fldChar w:fldCharType="begin"/>
    </w:r>
    <w:r>
      <w:instrText>PAGE</w:instrText>
    </w:r>
    <w:r>
      <w:fldChar w:fldCharType="end"/>
    </w:r>
  </w:p>
  <w:p w14:paraId="4EC36EDC" w14:textId="77777777" w:rsidR="005A4F88" w:rsidRDefault="005A4F88">
    <w:pPr>
      <w:pBdr>
        <w:top w:val="nil"/>
        <w:left w:val="nil"/>
        <w:bottom w:val="nil"/>
        <w:right w:val="nil"/>
        <w:between w:val="nil"/>
      </w:pBdr>
      <w:tabs>
        <w:tab w:val="center" w:pos="4252"/>
        <w:tab w:val="right" w:pos="8504"/>
      </w:tabs>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F09DE" w14:textId="77777777" w:rsidR="005A4F88" w:rsidRDefault="005A4F88">
    <w:pPr>
      <w:jc w:val="both"/>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C951EF" w14:textId="77777777" w:rsidR="002741A8" w:rsidRDefault="002741A8">
      <w:r>
        <w:separator/>
      </w:r>
    </w:p>
  </w:footnote>
  <w:footnote w:type="continuationSeparator" w:id="0">
    <w:p w14:paraId="034D04B2" w14:textId="77777777" w:rsidR="002741A8" w:rsidRDefault="002741A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25606" w14:textId="77777777" w:rsidR="005A4F88" w:rsidRDefault="005A4F88">
    <w:pPr>
      <w:widowControl w:val="0"/>
      <w:pBdr>
        <w:top w:val="nil"/>
        <w:left w:val="nil"/>
        <w:bottom w:val="nil"/>
        <w:right w:val="nil"/>
        <w:between w:val="nil"/>
      </w:pBdr>
      <w:spacing w:line="276" w:lineRule="auto"/>
      <w:rPr>
        <w:sz w:val="20"/>
        <w:szCs w:val="20"/>
      </w:rPr>
    </w:pPr>
  </w:p>
  <w:tbl>
    <w:tblPr>
      <w:tblStyle w:val="a0"/>
      <w:tblW w:w="8830" w:type="dxa"/>
      <w:tblInd w:w="0" w:type="dxa"/>
      <w:tblLayout w:type="fixed"/>
      <w:tblLook w:val="0000" w:firstRow="0" w:lastRow="0" w:firstColumn="0" w:lastColumn="0" w:noHBand="0" w:noVBand="0"/>
    </w:tblPr>
    <w:tblGrid>
      <w:gridCol w:w="2361"/>
      <w:gridCol w:w="4235"/>
      <w:gridCol w:w="2234"/>
    </w:tblGrid>
    <w:tr w:rsidR="005A4F88" w14:paraId="2E9ADC22" w14:textId="77777777">
      <w:trPr>
        <w:trHeight w:val="454"/>
      </w:trPr>
      <w:tc>
        <w:tcPr>
          <w:tcW w:w="2361" w:type="dxa"/>
          <w:vMerge w:val="restart"/>
          <w:tcBorders>
            <w:top w:val="single" w:sz="4" w:space="0" w:color="000000"/>
            <w:left w:val="single" w:sz="4" w:space="0" w:color="000000"/>
            <w:right w:val="single" w:sz="4" w:space="0" w:color="000000"/>
          </w:tcBorders>
          <w:vAlign w:val="center"/>
        </w:tcPr>
        <w:p w14:paraId="4CDAFEEB" w14:textId="77777777" w:rsidR="005A4F88" w:rsidRDefault="005A4F88">
          <w:pPr>
            <w:jc w:val="center"/>
            <w:rPr>
              <w:sz w:val="16"/>
              <w:szCs w:val="16"/>
            </w:rPr>
          </w:pPr>
        </w:p>
      </w:tc>
      <w:tc>
        <w:tcPr>
          <w:tcW w:w="4235" w:type="dxa"/>
          <w:tcBorders>
            <w:top w:val="single" w:sz="4" w:space="0" w:color="000000"/>
            <w:left w:val="nil"/>
            <w:bottom w:val="single" w:sz="4" w:space="0" w:color="000000"/>
            <w:right w:val="single" w:sz="4" w:space="0" w:color="000000"/>
          </w:tcBorders>
          <w:vAlign w:val="center"/>
        </w:tcPr>
        <w:p w14:paraId="087255F1" w14:textId="77777777" w:rsidR="005A4F88" w:rsidRDefault="00280440">
          <w:pPr>
            <w:jc w:val="center"/>
            <w:rPr>
              <w:sz w:val="18"/>
              <w:szCs w:val="18"/>
            </w:rPr>
          </w:pPr>
          <w:r>
            <w:rPr>
              <w:sz w:val="18"/>
              <w:szCs w:val="18"/>
            </w:rPr>
            <w:t>PROCESO GESTIÓN NORMATIVA</w:t>
          </w:r>
        </w:p>
      </w:tc>
      <w:tc>
        <w:tcPr>
          <w:tcW w:w="2234" w:type="dxa"/>
          <w:tcBorders>
            <w:top w:val="single" w:sz="4" w:space="0" w:color="000000"/>
            <w:left w:val="nil"/>
            <w:bottom w:val="single" w:sz="4" w:space="0" w:color="000000"/>
            <w:right w:val="single" w:sz="4" w:space="0" w:color="000000"/>
          </w:tcBorders>
          <w:vAlign w:val="center"/>
        </w:tcPr>
        <w:p w14:paraId="2557A67D" w14:textId="77777777" w:rsidR="005A4F88" w:rsidRDefault="00280440">
          <w:pPr>
            <w:rPr>
              <w:sz w:val="16"/>
              <w:szCs w:val="16"/>
            </w:rPr>
          </w:pPr>
          <w:r>
            <w:rPr>
              <w:sz w:val="16"/>
              <w:szCs w:val="16"/>
            </w:rPr>
            <w:t>CÓDIGO</w:t>
          </w:r>
          <w:r>
            <w:rPr>
              <w:color w:val="3366FF"/>
              <w:sz w:val="16"/>
              <w:szCs w:val="16"/>
            </w:rPr>
            <w:t xml:space="preserve">: </w:t>
          </w:r>
          <w:r>
            <w:rPr>
              <w:sz w:val="16"/>
              <w:szCs w:val="16"/>
            </w:rPr>
            <w:t>GNV-FO-003</w:t>
          </w:r>
        </w:p>
      </w:tc>
    </w:tr>
    <w:tr w:rsidR="005A4F88" w14:paraId="1086A9E5" w14:textId="77777777">
      <w:trPr>
        <w:trHeight w:val="454"/>
      </w:trPr>
      <w:tc>
        <w:tcPr>
          <w:tcW w:w="2361" w:type="dxa"/>
          <w:vMerge/>
          <w:tcBorders>
            <w:top w:val="single" w:sz="4" w:space="0" w:color="000000"/>
            <w:left w:val="single" w:sz="4" w:space="0" w:color="000000"/>
            <w:right w:val="single" w:sz="4" w:space="0" w:color="000000"/>
          </w:tcBorders>
          <w:vAlign w:val="center"/>
        </w:tcPr>
        <w:p w14:paraId="05FBCC36" w14:textId="77777777" w:rsidR="005A4F88" w:rsidRDefault="005A4F88">
          <w:pPr>
            <w:widowControl w:val="0"/>
            <w:pBdr>
              <w:top w:val="nil"/>
              <w:left w:val="nil"/>
              <w:bottom w:val="nil"/>
              <w:right w:val="nil"/>
              <w:between w:val="nil"/>
            </w:pBdr>
            <w:spacing w:line="276" w:lineRule="auto"/>
            <w:rPr>
              <w:sz w:val="16"/>
              <w:szCs w:val="16"/>
            </w:rPr>
          </w:pPr>
        </w:p>
      </w:tc>
      <w:tc>
        <w:tcPr>
          <w:tcW w:w="4235" w:type="dxa"/>
          <w:vMerge w:val="restart"/>
          <w:tcBorders>
            <w:top w:val="single" w:sz="4" w:space="0" w:color="000000"/>
            <w:left w:val="nil"/>
            <w:right w:val="single" w:sz="4" w:space="0" w:color="000000"/>
          </w:tcBorders>
          <w:vAlign w:val="center"/>
        </w:tcPr>
        <w:p w14:paraId="27D5EE83" w14:textId="77777777" w:rsidR="005A4F88" w:rsidRDefault="00280440">
          <w:pPr>
            <w:jc w:val="center"/>
            <w:rPr>
              <w:sz w:val="20"/>
              <w:szCs w:val="20"/>
            </w:rPr>
          </w:pPr>
          <w:r>
            <w:rPr>
              <w:sz w:val="20"/>
              <w:szCs w:val="20"/>
            </w:rPr>
            <w:t>PRESENTACIÓN PONENCIAS</w:t>
          </w:r>
        </w:p>
      </w:tc>
      <w:tc>
        <w:tcPr>
          <w:tcW w:w="2234" w:type="dxa"/>
          <w:tcBorders>
            <w:top w:val="single" w:sz="4" w:space="0" w:color="000000"/>
            <w:left w:val="nil"/>
            <w:bottom w:val="single" w:sz="4" w:space="0" w:color="000000"/>
            <w:right w:val="single" w:sz="4" w:space="0" w:color="000000"/>
          </w:tcBorders>
          <w:vAlign w:val="center"/>
        </w:tcPr>
        <w:p w14:paraId="552BE896" w14:textId="77777777" w:rsidR="005A4F88" w:rsidRDefault="00280440">
          <w:pPr>
            <w:rPr>
              <w:sz w:val="16"/>
              <w:szCs w:val="16"/>
            </w:rPr>
          </w:pPr>
          <w:r>
            <w:rPr>
              <w:sz w:val="16"/>
              <w:szCs w:val="16"/>
            </w:rPr>
            <w:t>VERSIÓN:    01</w:t>
          </w:r>
        </w:p>
      </w:tc>
    </w:tr>
    <w:tr w:rsidR="005A4F88" w14:paraId="23F868F5" w14:textId="77777777">
      <w:trPr>
        <w:trHeight w:val="454"/>
      </w:trPr>
      <w:tc>
        <w:tcPr>
          <w:tcW w:w="2361" w:type="dxa"/>
          <w:vMerge/>
          <w:tcBorders>
            <w:top w:val="single" w:sz="4" w:space="0" w:color="000000"/>
            <w:left w:val="single" w:sz="4" w:space="0" w:color="000000"/>
            <w:right w:val="single" w:sz="4" w:space="0" w:color="000000"/>
          </w:tcBorders>
          <w:vAlign w:val="center"/>
        </w:tcPr>
        <w:p w14:paraId="19308325" w14:textId="77777777" w:rsidR="005A4F88" w:rsidRDefault="005A4F88">
          <w:pPr>
            <w:widowControl w:val="0"/>
            <w:pBdr>
              <w:top w:val="nil"/>
              <w:left w:val="nil"/>
              <w:bottom w:val="nil"/>
              <w:right w:val="nil"/>
              <w:between w:val="nil"/>
            </w:pBdr>
            <w:spacing w:line="276" w:lineRule="auto"/>
            <w:rPr>
              <w:sz w:val="16"/>
              <w:szCs w:val="16"/>
            </w:rPr>
          </w:pPr>
        </w:p>
      </w:tc>
      <w:tc>
        <w:tcPr>
          <w:tcW w:w="4235" w:type="dxa"/>
          <w:vMerge/>
          <w:tcBorders>
            <w:top w:val="single" w:sz="4" w:space="0" w:color="000000"/>
            <w:left w:val="nil"/>
            <w:right w:val="single" w:sz="4" w:space="0" w:color="000000"/>
          </w:tcBorders>
          <w:vAlign w:val="center"/>
        </w:tcPr>
        <w:p w14:paraId="7523EAD2" w14:textId="77777777" w:rsidR="005A4F88" w:rsidRDefault="005A4F88">
          <w:pPr>
            <w:widowControl w:val="0"/>
            <w:pBdr>
              <w:top w:val="nil"/>
              <w:left w:val="nil"/>
              <w:bottom w:val="nil"/>
              <w:right w:val="nil"/>
              <w:between w:val="nil"/>
            </w:pBdr>
            <w:spacing w:line="276" w:lineRule="auto"/>
            <w:rPr>
              <w:sz w:val="16"/>
              <w:szCs w:val="16"/>
            </w:rPr>
          </w:pPr>
        </w:p>
      </w:tc>
      <w:tc>
        <w:tcPr>
          <w:tcW w:w="2234" w:type="dxa"/>
          <w:tcBorders>
            <w:top w:val="single" w:sz="4" w:space="0" w:color="000000"/>
            <w:left w:val="nil"/>
            <w:bottom w:val="single" w:sz="4" w:space="0" w:color="000000"/>
            <w:right w:val="single" w:sz="4" w:space="0" w:color="000000"/>
          </w:tcBorders>
          <w:vAlign w:val="center"/>
        </w:tcPr>
        <w:p w14:paraId="7DF465F5" w14:textId="77777777" w:rsidR="005A4F88" w:rsidRDefault="00280440">
          <w:pPr>
            <w:rPr>
              <w:sz w:val="16"/>
              <w:szCs w:val="16"/>
            </w:rPr>
          </w:pPr>
          <w:r>
            <w:rPr>
              <w:sz w:val="16"/>
              <w:szCs w:val="16"/>
            </w:rPr>
            <w:t>FECHA: 14-Nov-2019</w:t>
          </w:r>
        </w:p>
      </w:tc>
    </w:tr>
  </w:tbl>
  <w:p w14:paraId="0BDF49B6" w14:textId="77777777" w:rsidR="005A4F88" w:rsidRDefault="00280440">
    <w:pPr>
      <w:pBdr>
        <w:top w:val="nil"/>
        <w:left w:val="nil"/>
        <w:bottom w:val="nil"/>
        <w:right w:val="nil"/>
        <w:between w:val="nil"/>
      </w:pBdr>
      <w:tabs>
        <w:tab w:val="center" w:pos="4252"/>
        <w:tab w:val="right" w:pos="8504"/>
      </w:tabs>
    </w:pPr>
    <w:r>
      <w:rPr>
        <w:noProof/>
        <w:lang w:val="es-419" w:eastAsia="es-419"/>
      </w:rPr>
      <w:drawing>
        <wp:anchor distT="0" distB="0" distL="0" distR="0" simplePos="0" relativeHeight="251658240" behindDoc="1" locked="0" layoutInCell="1" hidden="0" allowOverlap="1" wp14:anchorId="2A45710E" wp14:editId="450EE7DF">
          <wp:simplePos x="0" y="0"/>
          <wp:positionH relativeFrom="column">
            <wp:posOffset>327025</wp:posOffset>
          </wp:positionH>
          <wp:positionV relativeFrom="paragraph">
            <wp:posOffset>-895349</wp:posOffset>
          </wp:positionV>
          <wp:extent cx="752475" cy="885825"/>
          <wp:effectExtent l="0" t="0" r="0" b="0"/>
          <wp:wrapNone/>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76B78"/>
    <w:multiLevelType w:val="multilevel"/>
    <w:tmpl w:val="59161A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045555B"/>
    <w:multiLevelType w:val="multilevel"/>
    <w:tmpl w:val="84AE8A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0BD27F8"/>
    <w:multiLevelType w:val="multilevel"/>
    <w:tmpl w:val="10FA90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5810DF2"/>
    <w:multiLevelType w:val="multilevel"/>
    <w:tmpl w:val="6A10503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36B86ADC"/>
    <w:multiLevelType w:val="hybridMultilevel"/>
    <w:tmpl w:val="951272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1285733"/>
    <w:multiLevelType w:val="multilevel"/>
    <w:tmpl w:val="26666A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3F00828"/>
    <w:multiLevelType w:val="multilevel"/>
    <w:tmpl w:val="1C1CAB3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C46CFC"/>
    <w:multiLevelType w:val="multilevel"/>
    <w:tmpl w:val="B810C7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6BB43542"/>
    <w:multiLevelType w:val="multilevel"/>
    <w:tmpl w:val="D952B9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6E337274"/>
    <w:multiLevelType w:val="multilevel"/>
    <w:tmpl w:val="1FBCE8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727C4939"/>
    <w:multiLevelType w:val="multilevel"/>
    <w:tmpl w:val="AD843E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76A60928"/>
    <w:multiLevelType w:val="multilevel"/>
    <w:tmpl w:val="C5C24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9"/>
  </w:num>
  <w:num w:numId="3">
    <w:abstractNumId w:val="1"/>
  </w:num>
  <w:num w:numId="4">
    <w:abstractNumId w:val="0"/>
  </w:num>
  <w:num w:numId="5">
    <w:abstractNumId w:val="8"/>
  </w:num>
  <w:num w:numId="6">
    <w:abstractNumId w:val="3"/>
  </w:num>
  <w:num w:numId="7">
    <w:abstractNumId w:val="10"/>
  </w:num>
  <w:num w:numId="8">
    <w:abstractNumId w:val="5"/>
  </w:num>
  <w:num w:numId="9">
    <w:abstractNumId w:val="2"/>
  </w:num>
  <w:num w:numId="10">
    <w:abstractNumId w:val="7"/>
  </w:num>
  <w:num w:numId="11">
    <w:abstractNumId w:val="4"/>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4F88"/>
    <w:rsid w:val="00006FF1"/>
    <w:rsid w:val="00046F8E"/>
    <w:rsid w:val="00093D20"/>
    <w:rsid w:val="000B0781"/>
    <w:rsid w:val="000C0FC1"/>
    <w:rsid w:val="000F4152"/>
    <w:rsid w:val="000F6C3E"/>
    <w:rsid w:val="001476D3"/>
    <w:rsid w:val="0016569B"/>
    <w:rsid w:val="001A698B"/>
    <w:rsid w:val="00214970"/>
    <w:rsid w:val="002741A8"/>
    <w:rsid w:val="00280440"/>
    <w:rsid w:val="00287071"/>
    <w:rsid w:val="002A358F"/>
    <w:rsid w:val="002D6554"/>
    <w:rsid w:val="002F083D"/>
    <w:rsid w:val="00300058"/>
    <w:rsid w:val="00301169"/>
    <w:rsid w:val="003022F7"/>
    <w:rsid w:val="00356F47"/>
    <w:rsid w:val="003663B8"/>
    <w:rsid w:val="003C2F0B"/>
    <w:rsid w:val="00443834"/>
    <w:rsid w:val="004629DC"/>
    <w:rsid w:val="00474997"/>
    <w:rsid w:val="00482849"/>
    <w:rsid w:val="00484626"/>
    <w:rsid w:val="004B27CA"/>
    <w:rsid w:val="004C6396"/>
    <w:rsid w:val="005071E4"/>
    <w:rsid w:val="00516790"/>
    <w:rsid w:val="00526A70"/>
    <w:rsid w:val="005A4F88"/>
    <w:rsid w:val="005D1066"/>
    <w:rsid w:val="005D63C0"/>
    <w:rsid w:val="00605448"/>
    <w:rsid w:val="006251FB"/>
    <w:rsid w:val="00635F9E"/>
    <w:rsid w:val="0065263D"/>
    <w:rsid w:val="006804CD"/>
    <w:rsid w:val="006905EE"/>
    <w:rsid w:val="00693DE3"/>
    <w:rsid w:val="00704C1E"/>
    <w:rsid w:val="00721D16"/>
    <w:rsid w:val="00755BE9"/>
    <w:rsid w:val="007945D0"/>
    <w:rsid w:val="007B72EE"/>
    <w:rsid w:val="007F61A8"/>
    <w:rsid w:val="008C1953"/>
    <w:rsid w:val="008F1740"/>
    <w:rsid w:val="008F2CC1"/>
    <w:rsid w:val="00961A01"/>
    <w:rsid w:val="00962E35"/>
    <w:rsid w:val="00965246"/>
    <w:rsid w:val="009A79CF"/>
    <w:rsid w:val="009E539F"/>
    <w:rsid w:val="00A22177"/>
    <w:rsid w:val="00AF06DE"/>
    <w:rsid w:val="00AF11E6"/>
    <w:rsid w:val="00AF608B"/>
    <w:rsid w:val="00B03283"/>
    <w:rsid w:val="00B4133E"/>
    <w:rsid w:val="00B420E5"/>
    <w:rsid w:val="00BA7744"/>
    <w:rsid w:val="00BE232E"/>
    <w:rsid w:val="00BF74E4"/>
    <w:rsid w:val="00C123A4"/>
    <w:rsid w:val="00C40056"/>
    <w:rsid w:val="00C725E5"/>
    <w:rsid w:val="00C8729D"/>
    <w:rsid w:val="00C91069"/>
    <w:rsid w:val="00C95A99"/>
    <w:rsid w:val="00CA347E"/>
    <w:rsid w:val="00CB32FE"/>
    <w:rsid w:val="00CD1E7A"/>
    <w:rsid w:val="00CF1B16"/>
    <w:rsid w:val="00D36F17"/>
    <w:rsid w:val="00D42072"/>
    <w:rsid w:val="00D420DD"/>
    <w:rsid w:val="00D650CE"/>
    <w:rsid w:val="00E1039B"/>
    <w:rsid w:val="00E77DC1"/>
    <w:rsid w:val="00E8600A"/>
    <w:rsid w:val="00E916DD"/>
    <w:rsid w:val="00E9269B"/>
    <w:rsid w:val="00EC5C73"/>
    <w:rsid w:val="00F03BC2"/>
    <w:rsid w:val="00F22C2C"/>
    <w:rsid w:val="00F37E2E"/>
    <w:rsid w:val="00F72E73"/>
    <w:rsid w:val="00FF08A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D8CD0"/>
  <w15:docId w15:val="{8E3B0651-A70D-4FAB-A69D-B41FE5CB8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8CA"/>
    <w:rPr>
      <w:color w:val="000000"/>
    </w:rPr>
  </w:style>
  <w:style w:type="paragraph" w:styleId="Ttulo1">
    <w:name w:val="heading 1"/>
    <w:basedOn w:val="Normal"/>
    <w:next w:val="Normal"/>
    <w:link w:val="Ttulo1Car"/>
    <w:uiPriority w:val="99"/>
    <w:qFormat/>
    <w:rsid w:val="00AE7E3B"/>
    <w:pPr>
      <w:keepNext/>
      <w:jc w:val="center"/>
      <w:outlineLvl w:val="0"/>
    </w:pPr>
    <w:rPr>
      <w:rFonts w:ascii="Times New Roman" w:hAnsi="Times New Roman"/>
      <w:color w:val="auto"/>
      <w:lang w:val="es-MX"/>
    </w:rPr>
  </w:style>
  <w:style w:type="paragraph" w:styleId="Ttulo2">
    <w:name w:val="heading 2"/>
    <w:basedOn w:val="Normal"/>
    <w:next w:val="Normal"/>
    <w:link w:val="Ttulo2Car"/>
    <w:uiPriority w:val="99"/>
    <w:qFormat/>
    <w:rsid w:val="00AE7E3B"/>
    <w:pPr>
      <w:keepNext/>
      <w:outlineLvl w:val="1"/>
    </w:pPr>
    <w:rPr>
      <w:rFonts w:ascii="Times New Roman" w:hAnsi="Times New Roman"/>
      <w:color w:val="auto"/>
      <w:lang w:val="es-MX"/>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link w:val="Ttulo4Car"/>
    <w:uiPriority w:val="99"/>
    <w:qFormat/>
    <w:rsid w:val="00BD4F10"/>
    <w:pPr>
      <w:keepNext/>
      <w:spacing w:before="240" w:after="60"/>
      <w:outlineLvl w:val="3"/>
    </w:pPr>
    <w:rPr>
      <w:rFonts w:ascii="Times New Roman" w:hAnsi="Times New Roman"/>
      <w:b/>
      <w:bCs/>
      <w:color w:val="auto"/>
      <w:sz w:val="28"/>
      <w:szCs w:val="28"/>
    </w:rPr>
  </w:style>
  <w:style w:type="paragraph" w:styleId="Ttulo5">
    <w:name w:val="heading 5"/>
    <w:basedOn w:val="Normal"/>
    <w:next w:val="Normal"/>
    <w:link w:val="Ttulo5Car"/>
    <w:uiPriority w:val="99"/>
    <w:qFormat/>
    <w:rsid w:val="00776D41"/>
    <w:pPr>
      <w:keepNext/>
      <w:keepLines/>
      <w:spacing w:before="200"/>
      <w:outlineLvl w:val="4"/>
    </w:pPr>
    <w:rPr>
      <w:rFonts w:ascii="Cambria" w:hAnsi="Cambria"/>
      <w:color w:val="243F60"/>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Ttulo1Car">
    <w:name w:val="Título 1 Car"/>
    <w:basedOn w:val="Fuentedeprrafopredeter"/>
    <w:link w:val="Ttulo1"/>
    <w:uiPriority w:val="9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link w:val="Ttulo4"/>
    <w:uiPriority w:val="99"/>
    <w:locked/>
    <w:rsid w:val="00BD4F10"/>
    <w:rPr>
      <w:rFonts w:cs="Times New Roman"/>
      <w:b/>
      <w:sz w:val="28"/>
      <w:lang w:val="es-ES" w:eastAsia="es-ES"/>
    </w:rPr>
  </w:style>
  <w:style w:type="character" w:customStyle="1" w:styleId="Ttulo5Car">
    <w:name w:val="Título 5 Car"/>
    <w:basedOn w:val="Fuentedeprrafopredeter"/>
    <w:link w:val="Ttulo5"/>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semiHidden/>
    <w:locked/>
    <w:rsid w:val="0078358A"/>
    <w:rPr>
      <w:rFonts w:ascii="Arial" w:hAnsi="Arial" w:cs="Times New Roman"/>
      <w:color w:val="000000"/>
      <w:sz w:val="20"/>
      <w:szCs w:val="20"/>
    </w:rPr>
  </w:style>
  <w:style w:type="paragraph" w:styleId="Piedepgina">
    <w:name w:val="footer"/>
    <w:basedOn w:val="Normal"/>
    <w:link w:val="PiedepginaCar"/>
    <w:rsid w:val="00AE7E3B"/>
    <w:pPr>
      <w:tabs>
        <w:tab w:val="center" w:pos="4252"/>
        <w:tab w:val="right" w:pos="8504"/>
      </w:tabs>
    </w:pPr>
  </w:style>
  <w:style w:type="character" w:customStyle="1" w:styleId="PiedepginaCar">
    <w:name w:val="Pie de página Car"/>
    <w:basedOn w:val="Fuentedeprrafopredeter"/>
    <w:link w:val="Piedepgina"/>
    <w:locked/>
    <w:rsid w:val="0078358A"/>
    <w:rPr>
      <w:rFonts w:ascii="Arial" w:hAnsi="Arial" w:cs="Times New Roman"/>
      <w:color w:val="000000"/>
      <w:sz w:val="20"/>
      <w:szCs w:val="20"/>
    </w:rPr>
  </w:style>
  <w:style w:type="paragraph" w:styleId="Textoindependiente">
    <w:name w:val="Body Text"/>
    <w:basedOn w:val="Normal"/>
    <w:link w:val="TextoindependienteCar"/>
    <w:uiPriority w:val="99"/>
    <w:rsid w:val="00AE7E3B"/>
    <w:pPr>
      <w:jc w:val="both"/>
    </w:pPr>
    <w:rPr>
      <w:rFonts w:ascii="Times New Roman" w:hAnsi="Times New Roman"/>
      <w:color w:val="auto"/>
      <w:lang w:val="es-MX"/>
    </w:rPr>
  </w:style>
  <w:style w:type="character" w:customStyle="1" w:styleId="TextoindependienteCar">
    <w:name w:val="Texto independiente Car"/>
    <w:basedOn w:val="Fuentedeprrafopredeter"/>
    <w:link w:val="Textoindependiente"/>
    <w:uiPriority w:val="99"/>
    <w:semiHidden/>
    <w:locked/>
    <w:rsid w:val="0078358A"/>
    <w:rPr>
      <w:rFonts w:ascii="Arial" w:hAnsi="Arial" w:cs="Times New Roman"/>
      <w:color w:val="000000"/>
      <w:sz w:val="20"/>
      <w:szCs w:val="20"/>
    </w:rPr>
  </w:style>
  <w:style w:type="character" w:styleId="Refdecomentario">
    <w:name w:val="annotation reference"/>
    <w:basedOn w:val="Fuentedeprrafopredeter"/>
    <w:uiPriority w:val="99"/>
    <w:semiHidden/>
    <w:rsid w:val="00AE7E3B"/>
    <w:rPr>
      <w:rFonts w:cs="Times New Roman"/>
      <w:sz w:val="16"/>
    </w:rPr>
  </w:style>
  <w:style w:type="paragraph" w:styleId="Textocomentario">
    <w:name w:val="annotation text"/>
    <w:basedOn w:val="Normal"/>
    <w:link w:val="TextocomentarioCar"/>
    <w:uiPriority w:val="99"/>
    <w:semiHidden/>
    <w:rsid w:val="00AE7E3B"/>
    <w:rPr>
      <w:sz w:val="20"/>
    </w:rPr>
  </w:style>
  <w:style w:type="character" w:customStyle="1" w:styleId="TextocomentarioCar">
    <w:name w:val="Texto comentario Car"/>
    <w:basedOn w:val="Fuentedeprrafopredeter"/>
    <w:link w:val="Textocomentario"/>
    <w:uiPriority w:val="99"/>
    <w:semiHidden/>
    <w:locked/>
    <w:rsid w:val="0078358A"/>
    <w:rPr>
      <w:rFonts w:ascii="Arial" w:hAnsi="Arial" w:cs="Times New Roman"/>
      <w:color w:val="000000"/>
      <w:sz w:val="20"/>
      <w:szCs w:val="20"/>
    </w:rPr>
  </w:style>
  <w:style w:type="table" w:styleId="Tablaconcuadrcula">
    <w:name w:val="Table Grid"/>
    <w:basedOn w:val="Tablanormal"/>
    <w:uiPriority w:val="5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rPr>
      <w:rFonts w:ascii="Times New Roman" w:hAnsi="Times New Roman"/>
      <w:color w:val="auto"/>
    </w:r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basedOn w:val="Normal"/>
    <w:uiPriority w:val="99"/>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eastAsia="en-US"/>
    </w:rPr>
  </w:style>
  <w:style w:type="paragraph" w:styleId="Sinespaciado">
    <w:name w:val="No Spacing"/>
    <w:uiPriority w:val="1"/>
    <w:qFormat/>
    <w:rsid w:val="00F158D8"/>
    <w:rPr>
      <w:rFonts w:asciiTheme="minorHAnsi" w:eastAsiaTheme="minorHAnsi" w:hAnsiTheme="minorHAnsi" w:cstheme="minorBidi"/>
      <w:sz w:val="22"/>
      <w:szCs w:val="22"/>
      <w:lang w:val="es-CO" w:eastAsia="en-U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70" w:type="dxa"/>
        <w:right w:w="70" w:type="dxa"/>
      </w:tblCellMar>
    </w:tblPr>
  </w:style>
  <w:style w:type="character" w:customStyle="1" w:styleId="UnresolvedMention">
    <w:name w:val="Unresolved Mention"/>
    <w:basedOn w:val="Fuentedeprrafopredeter"/>
    <w:uiPriority w:val="99"/>
    <w:semiHidden/>
    <w:unhideWhenUsed/>
    <w:rsid w:val="00F72E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261215">
      <w:bodyDiv w:val="1"/>
      <w:marLeft w:val="0"/>
      <w:marRight w:val="0"/>
      <w:marTop w:val="0"/>
      <w:marBottom w:val="0"/>
      <w:divBdr>
        <w:top w:val="none" w:sz="0" w:space="0" w:color="auto"/>
        <w:left w:val="none" w:sz="0" w:space="0" w:color="auto"/>
        <w:bottom w:val="none" w:sz="0" w:space="0" w:color="auto"/>
        <w:right w:val="none" w:sz="0" w:space="0" w:color="auto"/>
      </w:divBdr>
    </w:div>
    <w:div w:id="241184101">
      <w:bodyDiv w:val="1"/>
      <w:marLeft w:val="0"/>
      <w:marRight w:val="0"/>
      <w:marTop w:val="0"/>
      <w:marBottom w:val="0"/>
      <w:divBdr>
        <w:top w:val="none" w:sz="0" w:space="0" w:color="auto"/>
        <w:left w:val="none" w:sz="0" w:space="0" w:color="auto"/>
        <w:bottom w:val="none" w:sz="0" w:space="0" w:color="auto"/>
        <w:right w:val="none" w:sz="0" w:space="0" w:color="auto"/>
      </w:divBdr>
    </w:div>
    <w:div w:id="794983633">
      <w:bodyDiv w:val="1"/>
      <w:marLeft w:val="0"/>
      <w:marRight w:val="0"/>
      <w:marTop w:val="0"/>
      <w:marBottom w:val="0"/>
      <w:divBdr>
        <w:top w:val="none" w:sz="0" w:space="0" w:color="auto"/>
        <w:left w:val="none" w:sz="0" w:space="0" w:color="auto"/>
        <w:bottom w:val="none" w:sz="0" w:space="0" w:color="auto"/>
        <w:right w:val="none" w:sz="0" w:space="0" w:color="auto"/>
      </w:divBdr>
    </w:div>
    <w:div w:id="948465224">
      <w:bodyDiv w:val="1"/>
      <w:marLeft w:val="0"/>
      <w:marRight w:val="0"/>
      <w:marTop w:val="0"/>
      <w:marBottom w:val="0"/>
      <w:divBdr>
        <w:top w:val="none" w:sz="0" w:space="0" w:color="auto"/>
        <w:left w:val="none" w:sz="0" w:space="0" w:color="auto"/>
        <w:bottom w:val="none" w:sz="0" w:space="0" w:color="auto"/>
        <w:right w:val="none" w:sz="0" w:space="0" w:color="auto"/>
      </w:divBdr>
    </w:div>
    <w:div w:id="1188374299">
      <w:bodyDiv w:val="1"/>
      <w:marLeft w:val="0"/>
      <w:marRight w:val="0"/>
      <w:marTop w:val="0"/>
      <w:marBottom w:val="0"/>
      <w:divBdr>
        <w:top w:val="none" w:sz="0" w:space="0" w:color="auto"/>
        <w:left w:val="none" w:sz="0" w:space="0" w:color="auto"/>
        <w:bottom w:val="none" w:sz="0" w:space="0" w:color="auto"/>
        <w:right w:val="none" w:sz="0" w:space="0" w:color="auto"/>
      </w:divBdr>
    </w:div>
    <w:div w:id="1308240767">
      <w:bodyDiv w:val="1"/>
      <w:marLeft w:val="0"/>
      <w:marRight w:val="0"/>
      <w:marTop w:val="0"/>
      <w:marBottom w:val="0"/>
      <w:divBdr>
        <w:top w:val="none" w:sz="0" w:space="0" w:color="auto"/>
        <w:left w:val="none" w:sz="0" w:space="0" w:color="auto"/>
        <w:bottom w:val="none" w:sz="0" w:space="0" w:color="auto"/>
        <w:right w:val="none" w:sz="0" w:space="0" w:color="auto"/>
      </w:divBdr>
    </w:div>
    <w:div w:id="1669282436">
      <w:bodyDiv w:val="1"/>
      <w:marLeft w:val="0"/>
      <w:marRight w:val="0"/>
      <w:marTop w:val="0"/>
      <w:marBottom w:val="0"/>
      <w:divBdr>
        <w:top w:val="none" w:sz="0" w:space="0" w:color="auto"/>
        <w:left w:val="none" w:sz="0" w:space="0" w:color="auto"/>
        <w:bottom w:val="none" w:sz="0" w:space="0" w:color="auto"/>
        <w:right w:val="none" w:sz="0" w:space="0" w:color="auto"/>
      </w:divBdr>
    </w:div>
    <w:div w:id="2066219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JeM78fmADeCPnNNfSvK6gbt5uA==">CgMxLjAyCGguZ2pkZ3hzOAByITFjYVRvUzh1eDVHUnMtRk5Xa1VJSmhPcS1RdzZ6MklmSw==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2248</Words>
  <Characters>12365</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WILSON L. MORENO C.</dc:creator>
  <cp:lastModifiedBy>ANA YOLANDA DURAN RODRIGUEZ</cp:lastModifiedBy>
  <cp:revision>2</cp:revision>
  <cp:lastPrinted>2025-01-31T16:23:00Z</cp:lastPrinted>
  <dcterms:created xsi:type="dcterms:W3CDTF">2025-02-03T15:51:00Z</dcterms:created>
  <dcterms:modified xsi:type="dcterms:W3CDTF">2025-02-03T15:51:00Z</dcterms:modified>
</cp:coreProperties>
</file>